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C0" w:rsidRDefault="00B10CC0" w:rsidP="007E0532">
      <w:pPr>
        <w:widowControl w:val="0"/>
        <w:spacing w:after="120" w:line="240" w:lineRule="auto"/>
        <w:ind w:left="-567"/>
        <w:jc w:val="center"/>
        <w:rPr>
          <w:rFonts w:ascii="Times New Roman" w:hAnsi="Times New Roman"/>
          <w:b/>
          <w:sz w:val="24"/>
          <w:szCs w:val="24"/>
          <w:shd w:val="clear" w:color="auto" w:fill="FFFFFF"/>
          <w:lang w:eastAsia="ru-RU"/>
        </w:rPr>
      </w:pPr>
    </w:p>
    <w:p w:rsidR="002328AB" w:rsidRPr="008D667E" w:rsidRDefault="002328AB" w:rsidP="002328AB">
      <w:pPr>
        <w:spacing w:line="240" w:lineRule="auto"/>
        <w:jc w:val="center"/>
        <w:rPr>
          <w:rFonts w:ascii="Times New Roman" w:hAnsi="Times New Roman" w:cs="Times New Roman"/>
          <w:b/>
          <w:sz w:val="24"/>
        </w:rPr>
      </w:pPr>
      <w:r w:rsidRPr="008D667E">
        <w:rPr>
          <w:rFonts w:ascii="Times New Roman" w:hAnsi="Times New Roman" w:cs="Times New Roman"/>
          <w:b/>
          <w:sz w:val="24"/>
        </w:rPr>
        <w:t xml:space="preserve">РЕЗОЛЮЦИЯ </w:t>
      </w:r>
    </w:p>
    <w:p w:rsidR="002328AB" w:rsidRDefault="002328AB" w:rsidP="002328AB">
      <w:pPr>
        <w:spacing w:line="240" w:lineRule="auto"/>
        <w:jc w:val="center"/>
        <w:rPr>
          <w:rFonts w:ascii="Times New Roman" w:hAnsi="Times New Roman" w:cs="Times New Roman"/>
          <w:b/>
          <w:sz w:val="24"/>
        </w:rPr>
      </w:pPr>
      <w:r w:rsidRPr="008D667E">
        <w:rPr>
          <w:rFonts w:ascii="Times New Roman" w:hAnsi="Times New Roman" w:cs="Times New Roman"/>
          <w:b/>
          <w:sz w:val="24"/>
        </w:rPr>
        <w:t xml:space="preserve">Круглого стола «Актуальные вопросы медицинской помощи пациентам </w:t>
      </w:r>
      <w:r w:rsidRPr="008D667E">
        <w:rPr>
          <w:rFonts w:ascii="Times New Roman" w:hAnsi="Times New Roman" w:cs="Times New Roman"/>
          <w:b/>
          <w:sz w:val="24"/>
        </w:rPr>
        <w:br/>
        <w:t xml:space="preserve">с сахарным диабетом. Проблемы и пути решения» </w:t>
      </w:r>
    </w:p>
    <w:p w:rsidR="00D270B8" w:rsidRPr="00D270B8" w:rsidRDefault="00D270B8" w:rsidP="00D270B8">
      <w:pPr>
        <w:widowControl w:val="0"/>
        <w:autoSpaceDE w:val="0"/>
        <w:autoSpaceDN w:val="0"/>
        <w:adjustRightInd w:val="0"/>
        <w:ind w:left="34"/>
        <w:jc w:val="center"/>
        <w:rPr>
          <w:rFonts w:ascii="Times New Roman" w:hAnsi="Times New Roman" w:cs="Times New Roman"/>
          <w:b/>
          <w:i/>
          <w:sz w:val="24"/>
          <w:szCs w:val="24"/>
        </w:rPr>
      </w:pPr>
      <w:r w:rsidRPr="00D270B8">
        <w:rPr>
          <w:rFonts w:ascii="Times New Roman" w:hAnsi="Times New Roman" w:cs="Times New Roman"/>
          <w:b/>
          <w:i/>
          <w:sz w:val="24"/>
          <w:szCs w:val="24"/>
        </w:rPr>
        <w:t>Россия, Москва, 29 ноября 2018 года</w:t>
      </w:r>
    </w:p>
    <w:p w:rsidR="002328AB" w:rsidRPr="008D667E" w:rsidRDefault="00D270B8" w:rsidP="00DF2A71">
      <w:pPr>
        <w:spacing w:after="80" w:line="240" w:lineRule="auto"/>
        <w:ind w:firstLine="708"/>
        <w:jc w:val="both"/>
        <w:rPr>
          <w:rFonts w:ascii="Times New Roman" w:hAnsi="Times New Roman" w:cs="Times New Roman"/>
          <w:sz w:val="24"/>
        </w:rPr>
      </w:pPr>
      <w:r w:rsidRPr="00D270B8">
        <w:rPr>
          <w:rFonts w:ascii="Times New Roman" w:hAnsi="Times New Roman" w:cs="Times New Roman"/>
          <w:sz w:val="24"/>
        </w:rPr>
        <w:t>Н</w:t>
      </w:r>
      <w:r w:rsidR="002328AB" w:rsidRPr="008D667E">
        <w:rPr>
          <w:rFonts w:ascii="Times New Roman" w:hAnsi="Times New Roman" w:cs="Times New Roman"/>
          <w:sz w:val="24"/>
        </w:rPr>
        <w:t>а площадке IХ Всероссийского конгресса пациентов «Взаимодействие власти и пациентского сообщества как основа построения пациент-ориентированного здравоох</w:t>
      </w:r>
      <w:r w:rsidR="00AB7F1D">
        <w:rPr>
          <w:rFonts w:ascii="Times New Roman" w:hAnsi="Times New Roman" w:cs="Times New Roman"/>
          <w:sz w:val="24"/>
        </w:rPr>
        <w:t>ранения в Российской Федерации»</w:t>
      </w:r>
      <w:r w:rsidR="002328AB" w:rsidRPr="008D667E">
        <w:rPr>
          <w:rFonts w:ascii="Times New Roman" w:hAnsi="Times New Roman" w:cs="Times New Roman"/>
          <w:sz w:val="24"/>
        </w:rPr>
        <w:t xml:space="preserve"> состоялся круглый стол «Актуальные вопросы медицинской помощи пациентам с сахарным диабетом. Проблемы и пути решения».</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В заседании и работе круглого стола приняли участие представители пациентских организаций, представители экспертных, медицинских и общественных организаций, ключевые лидеры мнений.</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Участники круглого стола обсудили текущую ситуацию с заболеваемостью и распространённостью сахарного диабета (СД), ключевые вопросы оказания медицинской помощи пациентам с СД, обеспечения пациентов лекарственными препаратами и средствами медицинского назначения на региональном и федеральном уровнях, развитие программ обучения и профессиональной поддержки пациентов </w:t>
      </w:r>
      <w:r w:rsidRPr="008D667E">
        <w:rPr>
          <w:rFonts w:ascii="Times New Roman" w:hAnsi="Times New Roman" w:cs="Times New Roman"/>
          <w:sz w:val="24"/>
          <w:lang w:val="en-US"/>
        </w:rPr>
        <w:t>c</w:t>
      </w:r>
      <w:r w:rsidRPr="008D667E">
        <w:rPr>
          <w:rFonts w:ascii="Times New Roman" w:hAnsi="Times New Roman" w:cs="Times New Roman"/>
          <w:sz w:val="24"/>
        </w:rPr>
        <w:t xml:space="preserve"> </w:t>
      </w:r>
      <w:r w:rsidRPr="008D667E">
        <w:rPr>
          <w:rFonts w:ascii="Times New Roman" w:hAnsi="Times New Roman" w:cs="Times New Roman"/>
          <w:sz w:val="24"/>
          <w:lang w:val="en-US"/>
        </w:rPr>
        <w:t>C</w:t>
      </w:r>
      <w:r w:rsidRPr="008D667E">
        <w:rPr>
          <w:rFonts w:ascii="Times New Roman" w:hAnsi="Times New Roman" w:cs="Times New Roman"/>
          <w:sz w:val="24"/>
        </w:rPr>
        <w:t>Д.</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В России СД диагн</w:t>
      </w:r>
      <w:r w:rsidR="004F11B6">
        <w:rPr>
          <w:rFonts w:ascii="Times New Roman" w:hAnsi="Times New Roman" w:cs="Times New Roman"/>
          <w:sz w:val="24"/>
        </w:rPr>
        <w:t>остирован как минимум у 4,5 млн</w:t>
      </w:r>
      <w:r w:rsidRPr="008D667E">
        <w:rPr>
          <w:rFonts w:ascii="Times New Roman" w:hAnsi="Times New Roman" w:cs="Times New Roman"/>
          <w:sz w:val="24"/>
        </w:rPr>
        <w:t xml:space="preserve"> человек (3,06% населения) - это только выявленные случаи. Реальная распространенность заболевания гораздо выше: по данным крупных эпидемиологических исследований, около 50% россиян не знают о своем заболевании, т.е. по факту в России СД страдают порядка 9 млн. чел. Почти половина людей с СД 2 типа – люди трудоспособного возраста (до 65 лет), около 20% населения находится в стадии предиабета;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Около 30 тысяч человек умирает непосредственно от СД каждый год, десятки тысяч умерших от различных других причин имеют в анамнезе СД: в 2017 году зарегистрировано 102 965 случая смерти пациентов, у которых в анамнезе был СД. Среди причин смерти пациентов с СД ведущие позиции занимает именно сердечно-сосудистая патология: суммарно она стала причиной смерти 39,8% у пациентов с СД 1 типа и 54,9% с СД 2 типа.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Ежегодные потери ВВП в результате преждевременной смертности, вызванной СД, а также его осложнениями (временная нетрудоспособность, инвалидизация), оцениваются экспертами, по меньшей мере, 500 млрд руб. </w:t>
      </w:r>
    </w:p>
    <w:p w:rsidR="002328AB" w:rsidRPr="008D667E" w:rsidRDefault="002328AB" w:rsidP="00DF2A71">
      <w:pPr>
        <w:spacing w:before="120" w:after="120" w:line="240" w:lineRule="auto"/>
        <w:ind w:firstLine="708"/>
        <w:jc w:val="both"/>
        <w:rPr>
          <w:rFonts w:ascii="Times New Roman" w:hAnsi="Times New Roman" w:cs="Times New Roman"/>
          <w:b/>
          <w:sz w:val="24"/>
        </w:rPr>
      </w:pPr>
      <w:r w:rsidRPr="008D667E">
        <w:rPr>
          <w:rFonts w:ascii="Times New Roman" w:hAnsi="Times New Roman" w:cs="Times New Roman"/>
          <w:b/>
          <w:sz w:val="24"/>
        </w:rPr>
        <w:t>Участники круглого стола отметили следующее:</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Государством прикладываются значительные усилия для снижения тяжести бремени СД. Специальным постановлением Правительства РФ (N 715 от 01.12.2004 г.) СД определен как социально значимое заболевание.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Обеспечение пациентов с СД необходимыми лекарственными препаратами и средствами медицинского назначения осуществляется в рамках федеральной (небольшая группа населения) и региональной льготы (все пациенты с СД).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До 2013 года успешно действовала подпрограмма «Сахарный диабет» Федеральной целевой программы «Предупреждение и борьба с социально значимыми заболеваниями», итогом которой стало увеличение продолжительности жизни, снижение смертности </w:t>
      </w:r>
      <w:r w:rsidRPr="008D667E">
        <w:rPr>
          <w:rFonts w:ascii="Times New Roman" w:hAnsi="Times New Roman" w:cs="Times New Roman"/>
          <w:sz w:val="24"/>
        </w:rPr>
        <w:lastRenderedPageBreak/>
        <w:t xml:space="preserve">пациентов с СД, заложены основы работы Федерального регистра пациентов с СД, который продолжает развиваться и охватывает почти все регионы страны.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Вместе с тем, несмотря на предпринимаемые меры и очевидные позитивные результаты в улучшении качества жизни и медицинской помощи пациентов с СД, проблемы с обеспечением лекарствами и средствами медицинского назначения, ведением регистра, процедурой закупок, обучением пациентов сохраняются.</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В регионах наблюдается неоднородность финансирования, которая широко варьируется от региона к региону: бюджеты субъектов РФ рассчитаны в основном только на тех больных, которые уже стоят на учете в регионе, но из-за постоянно увеличивающегося числа больных (в 2017 г. зарегистрировано 260 771 новых случаев СД) выделенных средств не хватает. Проблема усугубляется различием в качестве работы регионов по ведению регистра пациентов с СД, из-за чего часть пациентов просто не учитывается статистикой.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Существуют проблемы и в обеспечении пациентов с СД лекарствами и средствами медицинского назначения по федеральной льготе, к главным из которых относится дефицит средств, вызванный «выпадением» части пациентов из официальной статистики, выбор денежной компенсации вместо обеспечения медикаментами и мед. изделиями, а также периодические сложности, вызванные снятием инвалидности у федеральных льготников.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Те пациенты, которые все же получают льготное обеспечение, часто не достигают целевых терапевтических показателей по уровню гликемического контроля («компенсации СД»). Несвоевременность получения лекарств, уже на стадии осложнений, увеличивает расходы на немедицинские затраты, вызванные временной нетрудоспособностью, инвалидизацией, преждевременной смертностью.</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К другим важным проблемам были отнесены сложности с обеспечением необходимыми тест-полосками, иглами для шприц-ручек и расходными материалами к инсулиновым помпам в полном объеме, перевод с одного инсулина на другой без медицинских показаний и соответствующего наблюдения врача (исключительно по экономическим соображениям) вкупе с ограничением возможности закупок инсулинов по торговым наименованиям. </w:t>
      </w:r>
    </w:p>
    <w:p w:rsidR="002328AB" w:rsidRPr="008D667E" w:rsidRDefault="002328AB" w:rsidP="00DF2A71">
      <w:pPr>
        <w:spacing w:after="80" w:line="240" w:lineRule="auto"/>
        <w:ind w:firstLine="708"/>
        <w:jc w:val="both"/>
        <w:rPr>
          <w:rFonts w:ascii="Times New Roman" w:hAnsi="Times New Roman" w:cs="Times New Roman"/>
          <w:sz w:val="24"/>
        </w:rPr>
      </w:pPr>
      <w:r w:rsidRPr="008D667E">
        <w:rPr>
          <w:rFonts w:ascii="Times New Roman" w:hAnsi="Times New Roman" w:cs="Times New Roman"/>
          <w:sz w:val="24"/>
        </w:rPr>
        <w:t xml:space="preserve">Участники круглого стола отметили крайнюю важность должной профессиональной поддержки пациентов с СД в части информационно-просветительской работы и психологической помощи. </w:t>
      </w:r>
    </w:p>
    <w:p w:rsidR="002328AB" w:rsidRPr="008D667E" w:rsidRDefault="002328AB" w:rsidP="00DF2A71">
      <w:pPr>
        <w:spacing w:before="120" w:after="120" w:line="240" w:lineRule="auto"/>
        <w:ind w:firstLine="708"/>
        <w:jc w:val="both"/>
        <w:rPr>
          <w:rFonts w:ascii="Times New Roman" w:hAnsi="Times New Roman" w:cs="Times New Roman"/>
          <w:color w:val="538135" w:themeColor="accent6" w:themeShade="BF"/>
          <w:sz w:val="24"/>
        </w:rPr>
      </w:pPr>
      <w:r w:rsidRPr="008D667E">
        <w:rPr>
          <w:rFonts w:ascii="Times New Roman" w:hAnsi="Times New Roman" w:cs="Times New Roman"/>
          <w:b/>
          <w:sz w:val="24"/>
        </w:rPr>
        <w:t>Рекомендации участников круглого стола</w:t>
      </w:r>
    </w:p>
    <w:p w:rsidR="002328AB" w:rsidRPr="008D667E" w:rsidRDefault="002328AB" w:rsidP="00DF2A71">
      <w:pPr>
        <w:spacing w:line="240" w:lineRule="auto"/>
        <w:ind w:firstLine="360"/>
        <w:jc w:val="both"/>
        <w:rPr>
          <w:rFonts w:ascii="Times New Roman" w:hAnsi="Times New Roman" w:cs="Times New Roman"/>
          <w:sz w:val="24"/>
        </w:rPr>
      </w:pPr>
      <w:r w:rsidRPr="008D667E">
        <w:rPr>
          <w:rFonts w:ascii="Times New Roman" w:hAnsi="Times New Roman" w:cs="Times New Roman"/>
          <w:sz w:val="24"/>
        </w:rPr>
        <w:t>Учитывая общественную значимость, экономическое и социально-демографическое бремя СД для страны, необходимость охраны жизни и здоровья пациентов, в целях достижения национальных стратегических целей и задач государства в области здравоохранения и демографии,</w:t>
      </w:r>
      <w:r w:rsidRPr="008D667E">
        <w:rPr>
          <w:rFonts w:ascii="Times New Roman" w:hAnsi="Times New Roman" w:cs="Times New Roman"/>
          <w:b/>
          <w:sz w:val="24"/>
        </w:rPr>
        <w:t xml:space="preserve"> </w:t>
      </w:r>
      <w:r w:rsidRPr="008D667E">
        <w:rPr>
          <w:rFonts w:ascii="Times New Roman" w:hAnsi="Times New Roman" w:cs="Times New Roman"/>
          <w:sz w:val="24"/>
        </w:rPr>
        <w:t xml:space="preserve">участники круглого стола </w:t>
      </w:r>
      <w:r w:rsidRPr="008D667E">
        <w:rPr>
          <w:rFonts w:ascii="Times New Roman" w:hAnsi="Times New Roman" w:cs="Times New Roman"/>
          <w:b/>
          <w:sz w:val="24"/>
        </w:rPr>
        <w:t>рекомендуют</w:t>
      </w:r>
      <w:r w:rsidRPr="008D667E">
        <w:rPr>
          <w:rFonts w:ascii="Times New Roman" w:hAnsi="Times New Roman" w:cs="Times New Roman"/>
          <w:sz w:val="24"/>
        </w:rPr>
        <w:t xml:space="preserve"> органам государственной власти Российской Федерации</w:t>
      </w:r>
      <w:r w:rsidRPr="008D667E">
        <w:rPr>
          <w:rFonts w:ascii="Times New Roman" w:hAnsi="Times New Roman" w:cs="Times New Roman"/>
          <w:b/>
          <w:sz w:val="24"/>
        </w:rPr>
        <w:t>, при реализации государственной политики в области здравоохранения, учесть нижеследующие предложения</w:t>
      </w:r>
      <w:r w:rsidRPr="008D667E">
        <w:rPr>
          <w:rFonts w:ascii="Times New Roman" w:hAnsi="Times New Roman" w:cs="Times New Roman"/>
          <w:sz w:val="24"/>
        </w:rPr>
        <w:t>:</w:t>
      </w:r>
    </w:p>
    <w:p w:rsidR="002328AB" w:rsidRPr="00670E79" w:rsidRDefault="004F11B6" w:rsidP="00670E79">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t xml:space="preserve">1. </w:t>
      </w:r>
      <w:r w:rsidR="002328AB" w:rsidRPr="00670E79">
        <w:rPr>
          <w:rFonts w:ascii="Times New Roman" w:hAnsi="Times New Roman" w:cs="Times New Roman"/>
          <w:sz w:val="24"/>
        </w:rPr>
        <w:t>Отметить обеспокоенность пациентов вопросами сохранения преемственности терапии и зарекомендовавших себя схем лечения, а также высокой частоты смены торговых наименований лекарственных средств для пациентов, находящихся на пожизненной терапии. Предложить Правительству РФ рассмотреть вопрос закрепления конкретных препаратов за пациентом в отдельных случаях по медицинским показаниям.</w:t>
      </w:r>
      <w:r w:rsidR="002328AB" w:rsidRPr="008D667E">
        <w:rPr>
          <w:rFonts w:ascii="Times New Roman" w:hAnsi="Times New Roman" w:cs="Times New Roman"/>
          <w:sz w:val="24"/>
        </w:rPr>
        <w:t xml:space="preserve"> Провести анализ законодательства РФ в области регу</w:t>
      </w:r>
      <w:r w:rsidR="00D55594">
        <w:rPr>
          <w:rFonts w:ascii="Times New Roman" w:hAnsi="Times New Roman" w:cs="Times New Roman"/>
          <w:sz w:val="24"/>
        </w:rPr>
        <w:t xml:space="preserve">лирования закупок биосимиляров и </w:t>
      </w:r>
      <w:r w:rsidR="002328AB" w:rsidRPr="008D667E">
        <w:rPr>
          <w:rFonts w:ascii="Times New Roman" w:hAnsi="Times New Roman" w:cs="Times New Roman"/>
          <w:sz w:val="24"/>
        </w:rPr>
        <w:t>лекар</w:t>
      </w:r>
      <w:r w:rsidR="004149FE">
        <w:rPr>
          <w:rFonts w:ascii="Times New Roman" w:hAnsi="Times New Roman" w:cs="Times New Roman"/>
          <w:sz w:val="24"/>
        </w:rPr>
        <w:t xml:space="preserve">ственных препаратов- генериков </w:t>
      </w:r>
      <w:r w:rsidR="002328AB" w:rsidRPr="008D667E">
        <w:rPr>
          <w:rFonts w:ascii="Times New Roman" w:hAnsi="Times New Roman" w:cs="Times New Roman"/>
          <w:sz w:val="24"/>
        </w:rPr>
        <w:t>и разработать порядок назначения/выписки биосимиляров по торговому наименованию лечащим врачом без проведения врачебной комиссии при повторном назначении</w:t>
      </w:r>
      <w:r w:rsidR="00670E79">
        <w:rPr>
          <w:rFonts w:ascii="Times New Roman" w:hAnsi="Times New Roman" w:cs="Times New Roman"/>
          <w:sz w:val="24"/>
        </w:rPr>
        <w:t>.</w:t>
      </w:r>
      <w:bookmarkStart w:id="0" w:name="_GoBack"/>
      <w:bookmarkEnd w:id="0"/>
    </w:p>
    <w:p w:rsidR="002328AB" w:rsidRPr="008D667E" w:rsidRDefault="004F11B6" w:rsidP="004F11B6">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lastRenderedPageBreak/>
        <w:t xml:space="preserve">2. </w:t>
      </w:r>
      <w:r w:rsidR="002328AB" w:rsidRPr="00670E79">
        <w:rPr>
          <w:rFonts w:ascii="Times New Roman" w:hAnsi="Times New Roman" w:cs="Times New Roman"/>
          <w:sz w:val="24"/>
        </w:rPr>
        <w:t>Предложить Министерству здравоохранения РФ создать и законодательно закрепить механизм участия с правом голоса представителей пациентского сообщества в заседаниях комиссий по формированию и дополнению перечня лекарственных средств и средств медицинского назначения.</w:t>
      </w:r>
    </w:p>
    <w:p w:rsidR="002328AB" w:rsidRPr="00670E79" w:rsidRDefault="004F11B6" w:rsidP="004F11B6">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t xml:space="preserve">3. </w:t>
      </w:r>
      <w:r w:rsidR="002328AB" w:rsidRPr="00670E79">
        <w:rPr>
          <w:rFonts w:ascii="Times New Roman" w:hAnsi="Times New Roman" w:cs="Times New Roman"/>
          <w:sz w:val="24"/>
        </w:rPr>
        <w:t>С целью оптимизации процедуры выписки льготных рецептов на лекарственные препараты и средства медицинского назначения необходимо актуализировать процесс разработки и внедрения федеральных стандартов и протоколов с использованием электронной подписи, электронной печати и регистрацией рецепта с возможностью онлайн контроля представителей органов здравоохранения, ОМС и Росздравнадзора.</w:t>
      </w:r>
    </w:p>
    <w:p w:rsidR="002328AB" w:rsidRPr="00670E79" w:rsidRDefault="004F11B6" w:rsidP="004F11B6">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4. </w:t>
      </w:r>
      <w:r w:rsidR="002328AB" w:rsidRPr="008D667E">
        <w:rPr>
          <w:rFonts w:ascii="Times New Roman" w:hAnsi="Times New Roman" w:cs="Times New Roman"/>
          <w:sz w:val="24"/>
        </w:rPr>
        <w:t>В случае принятия положительного решения по подготовке и реализации государственных пилотных проектов по лекарственному возмещению, включить в них пилотные проекты по возмещению лекарств и средств медицинского назначения пациентам с СД</w:t>
      </w:r>
      <w:r>
        <w:rPr>
          <w:rFonts w:ascii="Times New Roman" w:hAnsi="Times New Roman" w:cs="Times New Roman"/>
          <w:sz w:val="24"/>
        </w:rPr>
        <w:t>.</w:t>
      </w:r>
    </w:p>
    <w:p w:rsidR="002328AB" w:rsidRPr="004F11B6" w:rsidRDefault="004F11B6" w:rsidP="004F11B6">
      <w:pPr>
        <w:spacing w:after="40" w:line="240" w:lineRule="auto"/>
        <w:ind w:left="357"/>
        <w:jc w:val="both"/>
        <w:rPr>
          <w:rFonts w:ascii="Times New Roman" w:hAnsi="Times New Roman" w:cs="Times New Roman"/>
          <w:sz w:val="24"/>
        </w:rPr>
      </w:pPr>
      <w:r w:rsidRPr="00670E79">
        <w:rPr>
          <w:rFonts w:ascii="Times New Roman" w:hAnsi="Times New Roman" w:cs="Times New Roman"/>
          <w:sz w:val="24"/>
        </w:rPr>
        <w:t xml:space="preserve">5. </w:t>
      </w:r>
      <w:r w:rsidR="002328AB" w:rsidRPr="004F11B6">
        <w:rPr>
          <w:rFonts w:ascii="Times New Roman" w:hAnsi="Times New Roman" w:cs="Times New Roman"/>
          <w:sz w:val="24"/>
        </w:rPr>
        <w:t>Обеспечить Федеральный регистр пациентов с сахарным диабетом (СД) в регионах необходимыми медицинскими и техническими кадрами (ставками);</w:t>
      </w:r>
    </w:p>
    <w:p w:rsidR="002328AB" w:rsidRPr="008D667E" w:rsidRDefault="004F11B6" w:rsidP="004F11B6">
      <w:pPr>
        <w:spacing w:after="40" w:line="240" w:lineRule="auto"/>
        <w:ind w:left="357"/>
        <w:jc w:val="both"/>
        <w:rPr>
          <w:rFonts w:ascii="Times New Roman" w:hAnsi="Times New Roman" w:cs="Times New Roman"/>
          <w:sz w:val="24"/>
        </w:rPr>
      </w:pPr>
      <w:r>
        <w:rPr>
          <w:rFonts w:ascii="Times New Roman" w:hAnsi="Times New Roman" w:cs="Times New Roman"/>
          <w:sz w:val="24"/>
        </w:rPr>
        <w:t xml:space="preserve">6. </w:t>
      </w:r>
      <w:r w:rsidR="002328AB" w:rsidRPr="008D667E">
        <w:rPr>
          <w:rFonts w:ascii="Times New Roman" w:hAnsi="Times New Roman" w:cs="Times New Roman"/>
          <w:sz w:val="24"/>
        </w:rPr>
        <w:t>Осуществлять планирование закупок лекарственных препаратов и средств медицинского назначения (тест-полосок, игл для шприц-ручек, расходных материалов к инсулиновой помпе) для ле</w:t>
      </w:r>
      <w:r>
        <w:rPr>
          <w:rFonts w:ascii="Times New Roman" w:hAnsi="Times New Roman" w:cs="Times New Roman"/>
          <w:sz w:val="24"/>
        </w:rPr>
        <w:t xml:space="preserve">чения больных СД в количестве, </w:t>
      </w:r>
      <w:r w:rsidR="002328AB" w:rsidRPr="008D667E">
        <w:rPr>
          <w:rFonts w:ascii="Times New Roman" w:hAnsi="Times New Roman" w:cs="Times New Roman"/>
          <w:sz w:val="24"/>
        </w:rPr>
        <w:t xml:space="preserve">соответствующем клиническим рекомендациям и инструкциям по применению, на основании актуального регистра пациентов с учетом роста заболеваемости и улучшения диагностики не выявленных ранее случаев. </w:t>
      </w:r>
    </w:p>
    <w:p w:rsidR="002328AB" w:rsidRPr="008D667E" w:rsidRDefault="004F11B6" w:rsidP="004F11B6">
      <w:pPr>
        <w:spacing w:after="40" w:line="240" w:lineRule="auto"/>
        <w:ind w:left="357"/>
        <w:jc w:val="both"/>
        <w:rPr>
          <w:rFonts w:ascii="Times New Roman" w:hAnsi="Times New Roman" w:cs="Times New Roman"/>
          <w:sz w:val="24"/>
        </w:rPr>
      </w:pPr>
      <w:r>
        <w:rPr>
          <w:rFonts w:ascii="Times New Roman" w:hAnsi="Times New Roman" w:cs="Times New Roman"/>
          <w:sz w:val="24"/>
        </w:rPr>
        <w:t xml:space="preserve">7. </w:t>
      </w:r>
      <w:r w:rsidR="002328AB" w:rsidRPr="008D667E">
        <w:rPr>
          <w:rFonts w:ascii="Times New Roman" w:hAnsi="Times New Roman" w:cs="Times New Roman"/>
          <w:sz w:val="24"/>
        </w:rPr>
        <w:t>Ввести обеспечение расходными материалами в перечень медицинских услуг в рамках льготного лекарственного обеспечения;</w:t>
      </w:r>
    </w:p>
    <w:p w:rsidR="002328AB" w:rsidRPr="008D667E" w:rsidRDefault="004F11B6" w:rsidP="004F11B6">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8. </w:t>
      </w:r>
      <w:r w:rsidR="002328AB" w:rsidRPr="008D667E">
        <w:rPr>
          <w:rFonts w:ascii="Times New Roman" w:hAnsi="Times New Roman" w:cs="Times New Roman"/>
          <w:sz w:val="24"/>
        </w:rPr>
        <w:t>Разработать соответствующие тарифы для медицинской услуги «обучение больных СД» (Школа диабета) в перечне услуг, оплачиваемых фондом ОМС;</w:t>
      </w:r>
    </w:p>
    <w:p w:rsidR="002328AB" w:rsidRPr="008D667E" w:rsidRDefault="004F11B6" w:rsidP="004F11B6">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9. </w:t>
      </w:r>
      <w:r w:rsidR="002328AB" w:rsidRPr="008D667E">
        <w:rPr>
          <w:rFonts w:ascii="Times New Roman" w:hAnsi="Times New Roman" w:cs="Times New Roman"/>
          <w:sz w:val="24"/>
        </w:rPr>
        <w:t>Разработать и внедрить в практику программу по подготовке и сертификации медицинских сестер-обучателей для осуществления обучения больных СД в Школах диабета и ввести специальность «медицинская сестра</w:t>
      </w:r>
      <w:r w:rsidR="002328AB">
        <w:rPr>
          <w:rFonts w:ascii="Times New Roman" w:hAnsi="Times New Roman" w:cs="Times New Roman"/>
          <w:sz w:val="24"/>
        </w:rPr>
        <w:t>-</w:t>
      </w:r>
      <w:r w:rsidR="002328AB" w:rsidRPr="008D667E">
        <w:rPr>
          <w:rFonts w:ascii="Times New Roman" w:hAnsi="Times New Roman" w:cs="Times New Roman"/>
          <w:sz w:val="24"/>
        </w:rPr>
        <w:t>обучатель» в реестр среднего медицинского персонала.</w:t>
      </w:r>
    </w:p>
    <w:p w:rsidR="002328AB" w:rsidRPr="008D667E" w:rsidRDefault="004F11B6" w:rsidP="004F11B6">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t xml:space="preserve">10. </w:t>
      </w:r>
      <w:r w:rsidR="002328AB" w:rsidRPr="00670E79">
        <w:rPr>
          <w:rFonts w:ascii="Times New Roman" w:hAnsi="Times New Roman" w:cs="Times New Roman"/>
          <w:sz w:val="24"/>
        </w:rPr>
        <w:t>Осуществлять мониторинг качества обеспечения пациентов с СД средствами самоконтроля, расходными материалами к помпам, лекарственными жизненно необходимыми препаратами для лечения СД привлечением представителей Общественных советов по защите прав пациентов при региональных органах власти;</w:t>
      </w:r>
    </w:p>
    <w:p w:rsidR="002328AB" w:rsidRPr="008D667E" w:rsidRDefault="004F11B6" w:rsidP="004F11B6">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11. </w:t>
      </w:r>
      <w:r w:rsidR="002328AB" w:rsidRPr="00670E79">
        <w:rPr>
          <w:rFonts w:ascii="Times New Roman" w:hAnsi="Times New Roman" w:cs="Times New Roman"/>
          <w:sz w:val="24"/>
        </w:rPr>
        <w:t>Предложить Минздраву РФ рассмотреть вопрос о внесение дополнения «При выписывание пациентам с СД лекарственного препарата- инсулина, в верхней части рецепта обязательно проставлять обозначения "cito" (срочно) или "statim" (немедленно)»;</w:t>
      </w:r>
    </w:p>
    <w:p w:rsidR="002328AB" w:rsidRPr="008D667E" w:rsidRDefault="004F11B6" w:rsidP="004F11B6">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12. </w:t>
      </w:r>
      <w:r w:rsidR="002328AB" w:rsidRPr="008D667E">
        <w:rPr>
          <w:rFonts w:ascii="Times New Roman" w:hAnsi="Times New Roman" w:cs="Times New Roman"/>
          <w:sz w:val="24"/>
        </w:rPr>
        <w:t>Предложить региональным органам законодательной власти рассмотреть</w:t>
      </w:r>
      <w:r w:rsidR="002328AB" w:rsidRPr="00670E79">
        <w:rPr>
          <w:rFonts w:ascii="Times New Roman" w:hAnsi="Times New Roman" w:cs="Times New Roman"/>
          <w:sz w:val="24"/>
        </w:rPr>
        <w:t xml:space="preserve"> </w:t>
      </w:r>
      <w:r w:rsidR="002328AB" w:rsidRPr="008D667E">
        <w:rPr>
          <w:rFonts w:ascii="Times New Roman" w:hAnsi="Times New Roman" w:cs="Times New Roman"/>
          <w:sz w:val="24"/>
        </w:rPr>
        <w:t>вопрос о разработке и</w:t>
      </w:r>
      <w:r w:rsidR="002328AB">
        <w:rPr>
          <w:rFonts w:ascii="Times New Roman" w:hAnsi="Times New Roman" w:cs="Times New Roman"/>
          <w:sz w:val="24"/>
        </w:rPr>
        <w:t xml:space="preserve"> </w:t>
      </w:r>
      <w:r w:rsidR="002328AB" w:rsidRPr="008D667E">
        <w:rPr>
          <w:rFonts w:ascii="Times New Roman" w:hAnsi="Times New Roman" w:cs="Times New Roman"/>
          <w:sz w:val="24"/>
        </w:rPr>
        <w:t>принят</w:t>
      </w:r>
      <w:r w:rsidR="002328AB">
        <w:rPr>
          <w:rFonts w:ascii="Times New Roman" w:hAnsi="Times New Roman" w:cs="Times New Roman"/>
          <w:sz w:val="24"/>
        </w:rPr>
        <w:t>ии региональных законопроектов </w:t>
      </w:r>
      <w:r w:rsidR="002328AB" w:rsidRPr="008D667E">
        <w:rPr>
          <w:rFonts w:ascii="Times New Roman" w:hAnsi="Times New Roman" w:cs="Times New Roman"/>
          <w:sz w:val="24"/>
        </w:rPr>
        <w:t>"О мерах регулирования</w:t>
      </w:r>
      <w:r w:rsidR="002328AB">
        <w:rPr>
          <w:rFonts w:ascii="Times New Roman" w:hAnsi="Times New Roman" w:cs="Times New Roman"/>
          <w:sz w:val="24"/>
        </w:rPr>
        <w:t xml:space="preserve"> оказания медицинской помощи и </w:t>
      </w:r>
      <w:r w:rsidR="002328AB" w:rsidRPr="008D667E">
        <w:rPr>
          <w:rFonts w:ascii="Times New Roman" w:hAnsi="Times New Roman" w:cs="Times New Roman"/>
          <w:sz w:val="24"/>
        </w:rPr>
        <w:t>лекарственного обеспечения пациентов с СД." </w:t>
      </w:r>
    </w:p>
    <w:p w:rsidR="002328AB" w:rsidRPr="00670E79" w:rsidRDefault="004F11B6" w:rsidP="004F11B6">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t xml:space="preserve">13. </w:t>
      </w:r>
      <w:r w:rsidR="002328AB" w:rsidRPr="00670E79">
        <w:rPr>
          <w:rFonts w:ascii="Times New Roman" w:hAnsi="Times New Roman" w:cs="Times New Roman"/>
          <w:sz w:val="24"/>
        </w:rPr>
        <w:t>Предложить</w:t>
      </w:r>
      <w:r w:rsidR="004149FE" w:rsidRPr="00670E79">
        <w:rPr>
          <w:rFonts w:ascii="Times New Roman" w:hAnsi="Times New Roman" w:cs="Times New Roman"/>
          <w:sz w:val="24"/>
        </w:rPr>
        <w:t xml:space="preserve"> Министерству здравоохранения России</w:t>
      </w:r>
      <w:r w:rsidR="002328AB" w:rsidRPr="00670E79">
        <w:rPr>
          <w:rFonts w:ascii="Times New Roman" w:hAnsi="Times New Roman" w:cs="Times New Roman"/>
          <w:sz w:val="24"/>
        </w:rPr>
        <w:t xml:space="preserve"> создать и законодательно закрепить механизм участия с правом голоса представителей региональных диабетических общественных организаций в заседаниях региональных комиссий по формированию и дополнению перечня лекарственных средств и средств медицинского назначения для пациентов с СД</w:t>
      </w:r>
      <w:r w:rsidR="00406940" w:rsidRPr="00670E79">
        <w:rPr>
          <w:rFonts w:ascii="Times New Roman" w:hAnsi="Times New Roman" w:cs="Times New Roman"/>
          <w:sz w:val="24"/>
        </w:rPr>
        <w:t>.</w:t>
      </w:r>
    </w:p>
    <w:p w:rsidR="00B8123D" w:rsidRPr="00670E79" w:rsidRDefault="00EA6BBE" w:rsidP="00EA6BBE">
      <w:pPr>
        <w:spacing w:after="0" w:line="240" w:lineRule="auto"/>
        <w:ind w:left="360"/>
        <w:jc w:val="both"/>
        <w:rPr>
          <w:rFonts w:ascii="Times New Roman" w:hAnsi="Times New Roman" w:cs="Times New Roman"/>
          <w:sz w:val="24"/>
        </w:rPr>
      </w:pPr>
      <w:r w:rsidRPr="00670E79">
        <w:rPr>
          <w:rFonts w:ascii="Times New Roman" w:hAnsi="Times New Roman" w:cs="Times New Roman"/>
          <w:sz w:val="24"/>
        </w:rPr>
        <w:t xml:space="preserve">14. Поддержать инициативу Фонда социального страхования Российской Федерации по внедрению современной дистанционной системы мониторинга и контроля за клиническими показателями и объективным состоянием больных </w:t>
      </w:r>
      <w:r w:rsidR="00944237" w:rsidRPr="00670E79">
        <w:rPr>
          <w:rFonts w:ascii="Times New Roman" w:hAnsi="Times New Roman" w:cs="Times New Roman"/>
          <w:sz w:val="24"/>
        </w:rPr>
        <w:t>СД</w:t>
      </w:r>
      <w:r w:rsidRPr="00670E79">
        <w:rPr>
          <w:rFonts w:ascii="Times New Roman" w:hAnsi="Times New Roman" w:cs="Times New Roman"/>
          <w:sz w:val="24"/>
        </w:rPr>
        <w:t xml:space="preserve"> с целью сдвига сроков (возраста) наступления инвалидизирующих осложнений и смещения акцентов в расходах на профилактические меры.</w:t>
      </w:r>
    </w:p>
    <w:sectPr w:rsidR="00B8123D" w:rsidRPr="00670E79" w:rsidSect="00B8123D">
      <w:footerReference w:type="default" r:id="rId7"/>
      <w:headerReference w:type="first" r:id="rId8"/>
      <w:footerReference w:type="first" r:id="rId9"/>
      <w:pgSz w:w="11906" w:h="16838"/>
      <w:pgMar w:top="1134" w:right="850" w:bottom="1134" w:left="1701" w:header="1103"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0C" w:rsidRDefault="00C41B0C" w:rsidP="007759A9">
      <w:pPr>
        <w:spacing w:after="0" w:line="240" w:lineRule="auto"/>
      </w:pPr>
      <w:r>
        <w:separator/>
      </w:r>
    </w:p>
  </w:endnote>
  <w:endnote w:type="continuationSeparator" w:id="0">
    <w:p w:rsidR="00C41B0C" w:rsidRDefault="00C41B0C" w:rsidP="0077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1B5500" w:rsidRDefault="00545934" w:rsidP="00A71DF4">
    <w:pPr>
      <w:pStyle w:val="a5"/>
      <w:jc w:val="center"/>
      <w:rPr>
        <w:rFonts w:ascii="Times New Roman" w:hAnsi="Times New Roman"/>
        <w:color w:val="595959"/>
      </w:rPr>
    </w:pPr>
    <w:r>
      <w:rPr>
        <w:rFonts w:ascii="Times New Roman" w:hAnsi="Times New Roman"/>
        <w:noProof/>
        <w:color w:val="595959"/>
        <w:lang w:eastAsia="ru-RU"/>
      </w:rPr>
      <w:drawing>
        <wp:anchor distT="0" distB="0" distL="114300" distR="114300" simplePos="0" relativeHeight="251654144" behindDoc="0" locked="0" layoutInCell="1" allowOverlap="1">
          <wp:simplePos x="0" y="0"/>
          <wp:positionH relativeFrom="column">
            <wp:posOffset>-798195</wp:posOffset>
          </wp:positionH>
          <wp:positionV relativeFrom="paragraph">
            <wp:posOffset>-69850</wp:posOffset>
          </wp:positionV>
          <wp:extent cx="7053580" cy="223520"/>
          <wp:effectExtent l="19050" t="0" r="0" b="0"/>
          <wp:wrapNone/>
          <wp:docPr id="10" name="Рисунок 4"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r w:rsidR="00181919" w:rsidRPr="001B5500">
      <w:rPr>
        <w:rFonts w:ascii="Times New Roman" w:hAnsi="Times New Roman"/>
        <w:color w:val="595959"/>
      </w:rPr>
      <w:fldChar w:fldCharType="begin"/>
    </w:r>
    <w:r w:rsidR="004730C0" w:rsidRPr="001B5500">
      <w:rPr>
        <w:rFonts w:ascii="Times New Roman" w:hAnsi="Times New Roman"/>
        <w:color w:val="595959"/>
      </w:rPr>
      <w:instrText xml:space="preserve"> PAGE   \* MERGEFORMAT </w:instrText>
    </w:r>
    <w:r w:rsidR="00181919" w:rsidRPr="001B5500">
      <w:rPr>
        <w:rFonts w:ascii="Times New Roman" w:hAnsi="Times New Roman"/>
        <w:color w:val="595959"/>
      </w:rPr>
      <w:fldChar w:fldCharType="separate"/>
    </w:r>
    <w:r w:rsidR="00670E79">
      <w:rPr>
        <w:rFonts w:ascii="Times New Roman" w:hAnsi="Times New Roman"/>
        <w:noProof/>
        <w:color w:val="595959"/>
      </w:rPr>
      <w:t>2</w:t>
    </w:r>
    <w:r w:rsidR="00181919" w:rsidRPr="001B5500">
      <w:rPr>
        <w:rFonts w:ascii="Times New Roman" w:hAnsi="Times New Roman"/>
        <w:color w:val="59595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Default="004730C0" w:rsidP="00EA0E4F">
    <w:pPr>
      <w:pStyle w:val="a5"/>
      <w:jc w:val="center"/>
      <w:rPr>
        <w:rFonts w:ascii="Times New Roman" w:hAnsi="Times New Roman"/>
        <w:color w:val="7F7F7F"/>
      </w:rPr>
    </w:pPr>
  </w:p>
  <w:p w:rsidR="004730C0" w:rsidRPr="00EA0E4F" w:rsidRDefault="00545934" w:rsidP="00EA0E4F">
    <w:pPr>
      <w:pStyle w:val="a5"/>
      <w:jc w:val="center"/>
      <w:rPr>
        <w:rFonts w:ascii="Times New Roman" w:hAnsi="Times New Roman"/>
        <w:color w:val="7F7F7F"/>
      </w:rPr>
    </w:pPr>
    <w:r>
      <w:rPr>
        <w:rFonts w:ascii="Times New Roman" w:hAnsi="Times New Roman"/>
        <w:noProof/>
        <w:color w:val="7F7F7F"/>
        <w:lang w:eastAsia="ru-RU"/>
      </w:rPr>
      <w:drawing>
        <wp:anchor distT="0" distB="0" distL="114300" distR="114300" simplePos="0" relativeHeight="251660288" behindDoc="0" locked="0" layoutInCell="1" allowOverlap="1">
          <wp:simplePos x="0" y="0"/>
          <wp:positionH relativeFrom="column">
            <wp:posOffset>-749300</wp:posOffset>
          </wp:positionH>
          <wp:positionV relativeFrom="paragraph">
            <wp:posOffset>-19050</wp:posOffset>
          </wp:positionV>
          <wp:extent cx="7053580" cy="223520"/>
          <wp:effectExtent l="19050" t="0" r="0" b="0"/>
          <wp:wrapNone/>
          <wp:docPr id="1" name="Рисунок 1"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0C" w:rsidRDefault="00C41B0C" w:rsidP="007759A9">
      <w:pPr>
        <w:spacing w:after="0" w:line="240" w:lineRule="auto"/>
      </w:pPr>
      <w:r>
        <w:separator/>
      </w:r>
    </w:p>
  </w:footnote>
  <w:footnote w:type="continuationSeparator" w:id="0">
    <w:p w:rsidR="00C41B0C" w:rsidRDefault="00C41B0C" w:rsidP="0077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D44D84" w:rsidRDefault="00C41B0C" w:rsidP="00EA0E4F">
    <w:pPr>
      <w:spacing w:after="0" w:line="240" w:lineRule="auto"/>
      <w:rPr>
        <w:sz w:val="28"/>
        <w:szCs w:val="28"/>
      </w:rPr>
    </w:pPr>
    <w:r>
      <w:rPr>
        <w:noProof/>
      </w:rPr>
      <w:pict>
        <v:shapetype id="_x0000_t202" coordsize="21600,21600" o:spt="202" path="m,l,21600r21600,l21600,xe">
          <v:stroke joinstyle="miter"/>
          <v:path gradientshapeok="t" o:connecttype="rect"/>
        </v:shapetype>
        <v:shape id="Text Box 17" o:spid="_x0000_s2057" type="#_x0000_t202" style="position:absolute;margin-left:-29.35pt;margin-top:-21.45pt;width:175.2pt;height:26.25pt;z-index:251658240;visibility:visible;mso-height-percent:0;mso-wrap-distance-left:9pt;mso-wrap-distance-top:0;mso-wrap-distance-right:9pt;mso-wrap-distance-bottom:0;mso-position-horizontal-relative:text;mso-position-vertical-relative:text;mso-height-percent:0;mso-width-relative:page;mso-height-relative:page;v-text-anchor:top" stroked="f">
          <v:fill opacity="56283f"/>
          <v:path arrowok="t"/>
          <v:textbox style="mso-next-textbox:#Text Box 17" inset=".5mm,.5mm,.5mm,.5mm">
            <w:txbxContent>
              <w:p w:rsidR="004730C0" w:rsidRPr="00B8123D" w:rsidRDefault="00C00F9E" w:rsidP="00C00F9E">
                <w:pPr>
                  <w:widowControl w:val="0"/>
                  <w:autoSpaceDE w:val="0"/>
                  <w:autoSpaceDN w:val="0"/>
                  <w:spacing w:after="0" w:line="240" w:lineRule="auto"/>
                  <w:rPr>
                    <w:rFonts w:ascii="Times New Roman" w:eastAsia="Times New Roman" w:hAnsi="Times New Roman"/>
                    <w:color w:val="595959"/>
                    <w:sz w:val="19"/>
                    <w:szCs w:val="19"/>
                  </w:rPr>
                </w:pPr>
                <w:r w:rsidRPr="00B8123D">
                  <w:rPr>
                    <w:rFonts w:ascii="Times New Roman" w:hAnsi="Times New Roman"/>
                    <w:color w:val="595959"/>
                    <w:sz w:val="19"/>
                    <w:szCs w:val="19"/>
                  </w:rPr>
                  <w:t>+</w:t>
                </w:r>
                <w:r w:rsidR="00B8123D"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612</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20</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 xml:space="preserve">53, </w:t>
                </w:r>
                <w:r w:rsidR="00B8123D" w:rsidRPr="00B8123D">
                  <w:rPr>
                    <w:rFonts w:ascii="Times New Roman" w:hAnsi="Times New Roman"/>
                    <w:color w:val="595959"/>
                    <w:sz w:val="19"/>
                    <w:szCs w:val="19"/>
                  </w:rPr>
                  <w:t>+</w:t>
                </w:r>
                <w:r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748</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05</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10</w:t>
                </w:r>
              </w:p>
              <w:p w:rsidR="004730C0" w:rsidRPr="00B8123D" w:rsidRDefault="00C41B0C" w:rsidP="00C00F9E">
                <w:pPr>
                  <w:widowControl w:val="0"/>
                  <w:autoSpaceDE w:val="0"/>
                  <w:autoSpaceDN w:val="0"/>
                  <w:spacing w:after="0" w:line="240" w:lineRule="auto"/>
                  <w:rPr>
                    <w:rFonts w:ascii="Times New Roman" w:eastAsia="Times New Roman" w:hAnsi="Times New Roman"/>
                    <w:color w:val="595959"/>
                    <w:spacing w:val="4"/>
                    <w:sz w:val="19"/>
                    <w:szCs w:val="19"/>
                  </w:rPr>
                </w:pPr>
                <w:hyperlink r:id="rId1">
                  <w:r w:rsidR="004730C0" w:rsidRPr="00B8123D">
                    <w:rPr>
                      <w:rFonts w:ascii="Times New Roman" w:eastAsia="Times New Roman" w:hAnsi="Times New Roman"/>
                      <w:color w:val="595959"/>
                      <w:spacing w:val="4"/>
                      <w:sz w:val="19"/>
                      <w:szCs w:val="19"/>
                    </w:rPr>
                    <w:t>www.patients.ru</w:t>
                  </w:r>
                </w:hyperlink>
                <w:r w:rsidR="004730C0" w:rsidRPr="00B8123D">
                  <w:rPr>
                    <w:rFonts w:ascii="Times New Roman" w:eastAsia="Times New Roman" w:hAnsi="Times New Roman"/>
                    <w:color w:val="595959"/>
                    <w:spacing w:val="4"/>
                    <w:sz w:val="19"/>
                    <w:szCs w:val="19"/>
                  </w:rPr>
                  <w:t xml:space="preserve">,  </w:t>
                </w:r>
                <w:r w:rsidR="00B8123D">
                  <w:rPr>
                    <w:rFonts w:ascii="Times New Roman" w:eastAsia="Times New Roman" w:hAnsi="Times New Roman"/>
                    <w:color w:val="595959"/>
                    <w:spacing w:val="4"/>
                    <w:sz w:val="19"/>
                    <w:szCs w:val="19"/>
                  </w:rPr>
                  <w:t xml:space="preserve"> </w:t>
                </w:r>
                <w:r w:rsidR="004730C0" w:rsidRPr="00B8123D">
                  <w:rPr>
                    <w:rFonts w:ascii="Times New Roman" w:eastAsia="Times New Roman" w:hAnsi="Times New Roman"/>
                    <w:color w:val="595959"/>
                    <w:spacing w:val="4"/>
                    <w:sz w:val="19"/>
                    <w:szCs w:val="19"/>
                  </w:rPr>
                  <w:t xml:space="preserve"> </w:t>
                </w:r>
                <w:r w:rsidR="00B8123D" w:rsidRPr="00B8123D">
                  <w:rPr>
                    <w:rFonts w:ascii="Times New Roman" w:eastAsia="Times New Roman" w:hAnsi="Times New Roman"/>
                    <w:color w:val="595959"/>
                    <w:spacing w:val="4"/>
                    <w:sz w:val="19"/>
                    <w:szCs w:val="19"/>
                  </w:rPr>
                  <w:t xml:space="preserve"> </w:t>
                </w:r>
                <w:hyperlink r:id="rId2">
                  <w:r w:rsidR="004730C0" w:rsidRPr="00B8123D">
                    <w:rPr>
                      <w:rFonts w:ascii="Times New Roman" w:eastAsia="Times New Roman" w:hAnsi="Times New Roman"/>
                      <w:color w:val="595959"/>
                      <w:spacing w:val="4"/>
                      <w:sz w:val="19"/>
                      <w:szCs w:val="19"/>
                    </w:rPr>
                    <w:t>pat@patients.ru</w:t>
                  </w:r>
                </w:hyperlink>
              </w:p>
            </w:txbxContent>
          </v:textbox>
        </v:shape>
      </w:pict>
    </w:r>
    <w:r w:rsidR="00545934">
      <w:rPr>
        <w:noProof/>
        <w:sz w:val="28"/>
        <w:szCs w:val="28"/>
        <w:lang w:eastAsia="ru-RU"/>
      </w:rPr>
      <w:drawing>
        <wp:anchor distT="0" distB="0" distL="114300" distR="114300" simplePos="0" relativeHeight="251659264" behindDoc="0" locked="0" layoutInCell="1" allowOverlap="1">
          <wp:simplePos x="0" y="0"/>
          <wp:positionH relativeFrom="column">
            <wp:posOffset>4541520</wp:posOffset>
          </wp:positionH>
          <wp:positionV relativeFrom="paragraph">
            <wp:posOffset>-516890</wp:posOffset>
          </wp:positionV>
          <wp:extent cx="1188720" cy="1203325"/>
          <wp:effectExtent l="0" t="0" r="0"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
                  <a:srcRect/>
                  <a:stretch>
                    <a:fillRect/>
                  </a:stretch>
                </pic:blipFill>
                <pic:spPr bwMode="auto">
                  <a:xfrm>
                    <a:off x="0" y="0"/>
                    <a:ext cx="1188720" cy="1203325"/>
                  </a:xfrm>
                  <a:prstGeom prst="rect">
                    <a:avLst/>
                  </a:prstGeom>
                  <a:noFill/>
                </pic:spPr>
              </pic:pic>
            </a:graphicData>
          </a:graphic>
        </wp:anchor>
      </w:drawing>
    </w:r>
    <w:r>
      <w:rPr>
        <w:noProof/>
      </w:rPr>
      <w:pict>
        <v:shape id="Text Box 16" o:spid="_x0000_s2055" type="#_x0000_t202" style="position:absolute;margin-left:162.15pt;margin-top:-21.9pt;width:136.1pt;height:39.3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119 0 -119 21185 21600 21185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" stroked="f">
          <v:path arrowok="t"/>
          <v:textbox style="mso-next-textbox:#Text Box 16" inset=".5mm,.5mm,.5mm,.5mm">
            <w:txbxContent>
              <w:p w:rsidR="004730C0" w:rsidRDefault="004730C0" w:rsidP="00EA0E4F">
                <w:pPr>
                  <w:widowControl w:val="0"/>
                  <w:autoSpaceDE w:val="0"/>
                  <w:autoSpaceDN w:val="0"/>
                  <w:spacing w:after="0" w:line="240" w:lineRule="auto"/>
                  <w:jc w:val="both"/>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Российская Федерация, 125167,</w:t>
                </w:r>
                <w:r w:rsidRPr="00925CDD">
                  <w:rPr>
                    <w:rFonts w:ascii="Times New Roman" w:eastAsia="Times New Roman" w:hAnsi="Times New Roman"/>
                    <w:color w:val="595959"/>
                    <w:sz w:val="19"/>
                    <w:szCs w:val="19"/>
                  </w:rPr>
                  <w:br/>
                  <w:t>г. Москва, Нарышкинская аллея,</w:t>
                </w:r>
              </w:p>
              <w:p w:rsidR="004730C0" w:rsidRPr="00925CDD" w:rsidRDefault="004730C0" w:rsidP="00EA0E4F">
                <w:pPr>
                  <w:widowControl w:val="0"/>
                  <w:autoSpaceDE w:val="0"/>
                  <w:autoSpaceDN w:val="0"/>
                  <w:spacing w:after="0" w:line="240" w:lineRule="auto"/>
                  <w:jc w:val="right"/>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дом 5, строение 2</w:t>
                </w:r>
              </w:p>
            </w:txbxContent>
          </v:textbox>
          <w10:wrap type="tight"/>
        </v:shape>
      </w:pict>
    </w:r>
    <w:r>
      <w:rPr>
        <w:noProof/>
      </w:rPr>
      <w:pict>
        <v:shape id="Text Box 19" o:spid="_x0000_s2054" type="#_x0000_t202" style="position:absolute;margin-left:-36.1pt;margin-top:-28.8pt;width:79.05pt;height:33.6pt;z-index:2516572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d="f">
          <v:fill opacity="56283f"/>
          <v:path arrowok="t"/>
          <v:textbox style="mso-next-textbox:#Text Box 19" inset=".5mm,.5mm,.5mm,.5mm">
            <w:txbxContent>
              <w:p w:rsidR="004730C0" w:rsidRPr="00111C31" w:rsidRDefault="004730C0" w:rsidP="00EA0E4F">
                <w:pPr>
                  <w:widowControl w:val="0"/>
                  <w:autoSpaceDE w:val="0"/>
                  <w:autoSpaceDN w:val="0"/>
                  <w:spacing w:after="0" w:line="240" w:lineRule="auto"/>
                  <w:jc w:val="right"/>
                  <w:rPr>
                    <w:rFonts w:ascii="Times New Roman" w:eastAsia="Times New Roman" w:hAnsi="Times New Roman"/>
                    <w:color w:val="939598"/>
                    <w:sz w:val="19"/>
                    <w:szCs w:val="19"/>
                  </w:rPr>
                </w:pPr>
              </w:p>
              <w:p w:rsidR="004730C0" w:rsidRPr="00E03843" w:rsidRDefault="004730C0" w:rsidP="00EA0E4F">
                <w:pPr>
                  <w:widowControl w:val="0"/>
                  <w:autoSpaceDE w:val="0"/>
                  <w:autoSpaceDN w:val="0"/>
                  <w:spacing w:after="0" w:line="240" w:lineRule="auto"/>
                  <w:jc w:val="right"/>
                  <w:rPr>
                    <w:rFonts w:ascii="Times New Roman" w:eastAsia="Times New Roman" w:hAnsi="Times New Roman"/>
                    <w:b/>
                    <w:color w:val="939598"/>
                    <w:sz w:val="19"/>
                    <w:szCs w:val="19"/>
                  </w:rPr>
                </w:pPr>
              </w:p>
            </w:txbxContent>
          </v:textbox>
        </v:shape>
      </w:pict>
    </w:r>
    <w:r w:rsidR="00545934">
      <w:rPr>
        <w:noProof/>
        <w:sz w:val="28"/>
        <w:szCs w:val="28"/>
        <w:lang w:eastAsia="ru-RU"/>
      </w:rPr>
      <w:drawing>
        <wp:anchor distT="0" distB="0" distL="114300" distR="114300" simplePos="0" relativeHeight="251661312" behindDoc="1" locked="0" layoutInCell="1" allowOverlap="1">
          <wp:simplePos x="0" y="0"/>
          <wp:positionH relativeFrom="column">
            <wp:posOffset>-865505</wp:posOffset>
          </wp:positionH>
          <wp:positionV relativeFrom="paragraph">
            <wp:posOffset>-478155</wp:posOffset>
          </wp:positionV>
          <wp:extent cx="7120890" cy="770890"/>
          <wp:effectExtent l="19050" t="0" r="3810" b="0"/>
          <wp:wrapNone/>
          <wp:docPr id="5" name="Рисунок 2" descr="бланк составные элементы-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бланк составные элементы-06"/>
                  <pic:cNvPicPr>
                    <a:picLocks noChangeArrowheads="1"/>
                  </pic:cNvPicPr>
                </pic:nvPicPr>
                <pic:blipFill>
                  <a:blip r:embed="rId4"/>
                  <a:srcRect l="2673" r="3773" b="-43"/>
                  <a:stretch>
                    <a:fillRect/>
                  </a:stretch>
                </pic:blipFill>
                <pic:spPr bwMode="auto">
                  <a:xfrm>
                    <a:off x="0" y="0"/>
                    <a:ext cx="7120890" cy="770890"/>
                  </a:xfrm>
                  <a:prstGeom prst="rect">
                    <a:avLst/>
                  </a:prstGeom>
                  <a:noFill/>
                </pic:spPr>
              </pic:pic>
            </a:graphicData>
          </a:graphic>
        </wp:anchor>
      </w:drawing>
    </w:r>
  </w:p>
  <w:p w:rsidR="004730C0" w:rsidRPr="000015F9" w:rsidRDefault="00C41B0C" w:rsidP="00EA0E4F">
    <w:pPr>
      <w:spacing w:after="0" w:line="240" w:lineRule="auto"/>
    </w:pPr>
    <w:r>
      <w:rPr>
        <w:noProof/>
      </w:rPr>
      <w:pict>
        <v:group id="Group 10" o:spid="_x0000_s2050" alt="" style="position:absolute;margin-left:-72.9pt;margin-top:4.7pt;width:569.3pt;height:45.85pt;z-index:251655168" coordorigin="5,1521" coordsize="11901,917">
          <v:shape id="AutoShape 9" o:spid="_x0000_s2051" alt="" style="position:absolute;left:5;top:1702;width:11901;height:736;visibility:visible;mso-wrap-style:square;v-text-anchor:top" coordsize="11901,736" o:spt="100" adj="0,,0" path="m3333,40r-1165,l2499,48r83,4l2664,54r244,12l2989,72r80,4l3150,82r81,4l3631,116r79,8l3869,136r157,16l4105,158r778,80l4960,248r154,16l5191,274r154,16l5587,320r81,8l5990,368r161,18l7558,558r74,10l7853,594r75,10l8003,612r76,10l8155,630r77,10l8468,664r80,6l8630,678r313,24l9100,710r78,6l9257,720r80,2l9416,726r402,10l10229,736r82,-2l10394,734r165,-4l10641,726r82,-2l10966,712r81,-6l11128,702r474,-36l11834,642r67,-6l11901,612r-2254,l9401,606r-82,-4l9237,600,8993,588,8831,576r-80,-4l8671,566r-79,-8l8513,552,8037,504,7797,476r-81,-8l6923,380r-12,-2l5850,264r-79,-10l4824,158r-80,-6l4584,136r-80,-6l4343,114r-81,-6l4181,100,3444,46r-83,-4l3333,40xm11901,474r-358,46l11225,552r-392,30l10447,602r-391,10l11901,612r,-138xm2288,l1955,,1624,8,1379,20,1061,44,906,60,830,70r-75,8l680,90r-91,12l500,118r-86,14l331,148r-81,18l171,182,95,200,21,220,,224r,24l88,226r72,-16l235,192r77,-14l390,162r81,-14l554,136r84,-14l725,112,877,92r76,-8l1031,78r78,-8l1188,64,1591,44r164,-4l3333,40r-55,-4l2786,12,2288,xe" fillcolor="#ed1c24" stroked="f">
            <v:stroke joinstyle="round"/>
            <v:formulas/>
            <v:path arrowok="t" o:connecttype="custom" o:connectlocs="1586865,787400;1846580,798830;2000250,808990;2355850,835660;2606675,857250;3247390,924560;3547745,960120;3905885,1002030;4986655,1134110;5130165,1151890;5377180,1178560;5678805,1202690;5878195,1214120;6234430,1224280;6600190,1223010;6809105,1216660;7066280,1202690;7557135,1160780;5969635,1141730;5710555,1130300;5506085,1116330;5103495,1076960;4396105,998220;3664585,918210;2910840,843280;2706370,825500;2134235,783590;7329805,1087120;6633845,1139190;7557135,1057910;1031240,762000;575310,795020;431800,814070;262890,840740;108585,872490;0,899160;101600,890270;247650,859790;405130,834390;605155,810260;754380,797560;2116455,782320;1452880,756920" o:connectangles="0,0,0,0,0,0,0,0,0,0,0,0,0,0,0,0,0,0,0,0,0,0,0,0,0,0,0,0,0,0,0,0,0,0,0,0,0,0,0,0,0,0,0"/>
          </v:shape>
          <v:shape id="AutoShape 8" o:spid="_x0000_s2052" alt="" style="position:absolute;left:5;top:1521;width:6184;height:406;visibility:visible;mso-wrap-style:square;v-text-anchor:top" coordsize="6184,406" o:spt="100" adj="0,,0" path="m4062,128r-1864,l2605,131r409,11l3503,163r565,34l4708,247r707,70l6183,406,5512,304,5051,240,4498,173,4062,128xm1642,l1317,3,994,10,682,23,448,37,217,54,,75,,281r5,-1l47,273r83,-14l215,247r87,-13l465,214,614,198,845,177r238,-17l1319,147r316,-11l1955,129r2107,-1l3511,79,2999,43,2521,19,2125,6,1723,1,1642,xe" fillcolor="#1b75bc" stroked="f">
            <v:stroke joinstyle="round"/>
            <v:formulas/>
            <v:path arrowok="t" o:connecttype="custom" o:connectlocs="2579370,722630;1395730,722630;1654175,724535;1913890,731520;2224405,744855;2583180,766445;2989580,798195;3438525,842645;3926205,899160;3500120,834390;3207385,793750;2856230,751205;2579370,722630;1042670,641350;836295,643255;631190,647700;433070,655955;284480,664845;137795,675640;0,688975;0,819785;3175,819150;29845,814705;82550,805815;136525,798195;191770,789940;295275,777240;389890,767080;536575,753745;687705,742950;837565,734695;1038225,727710;1241425,723265;2579370,722630;2229485,691515;1904365,668655;1600835,653415;1349375,645160;1094105,641985;1042670,641350" o:connectangles="0,0,0,0,0,0,0,0,0,0,0,0,0,0,0,0,0,0,0,0,0,0,0,0,0,0,0,0,0,0,0,0,0,0,0,0,0,0,0,0"/>
          </v:shape>
        </v:group>
      </w:pict>
    </w:r>
  </w:p>
  <w:p w:rsidR="004730C0" w:rsidRPr="00D44D84" w:rsidRDefault="004730C0" w:rsidP="00EA0E4F">
    <w:pPr>
      <w:spacing w:after="0" w:line="240" w:lineRule="auto"/>
      <w:rPr>
        <w:sz w:val="26"/>
        <w:szCs w:val="26"/>
      </w:rPr>
    </w:pPr>
  </w:p>
  <w:p w:rsidR="004730C0" w:rsidRDefault="004730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4CF"/>
    <w:multiLevelType w:val="hybridMultilevel"/>
    <w:tmpl w:val="F350E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2260EA8"/>
    <w:multiLevelType w:val="hybridMultilevel"/>
    <w:tmpl w:val="EF5AD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1470404"/>
    <w:multiLevelType w:val="hybridMultilevel"/>
    <w:tmpl w:val="3C8EA0A2"/>
    <w:lvl w:ilvl="0" w:tplc="0419000F">
      <w:start w:val="1"/>
      <w:numFmt w:val="decimal"/>
      <w:lvlText w:val="%1."/>
      <w:lvlJc w:val="left"/>
      <w:pPr>
        <w:tabs>
          <w:tab w:val="num" w:pos="720"/>
        </w:tabs>
        <w:ind w:left="720" w:hanging="360"/>
      </w:pPr>
    </w:lvl>
    <w:lvl w:ilvl="1" w:tplc="F46EBD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5F9"/>
    <w:rsid w:val="000015F9"/>
    <w:rsid w:val="000171F1"/>
    <w:rsid w:val="00021C9B"/>
    <w:rsid w:val="00033165"/>
    <w:rsid w:val="0006292F"/>
    <w:rsid w:val="000B1073"/>
    <w:rsid w:val="000B311C"/>
    <w:rsid w:val="000B496C"/>
    <w:rsid w:val="000D296B"/>
    <w:rsid w:val="001144F1"/>
    <w:rsid w:val="0013551E"/>
    <w:rsid w:val="00137168"/>
    <w:rsid w:val="00142EA3"/>
    <w:rsid w:val="00146CE2"/>
    <w:rsid w:val="00165F82"/>
    <w:rsid w:val="00181919"/>
    <w:rsid w:val="001A176D"/>
    <w:rsid w:val="001B5500"/>
    <w:rsid w:val="001C0EAA"/>
    <w:rsid w:val="0022180E"/>
    <w:rsid w:val="002328AB"/>
    <w:rsid w:val="00247BB8"/>
    <w:rsid w:val="0026606F"/>
    <w:rsid w:val="0026736D"/>
    <w:rsid w:val="002741EF"/>
    <w:rsid w:val="00275164"/>
    <w:rsid w:val="002866B4"/>
    <w:rsid w:val="00306395"/>
    <w:rsid w:val="0036054C"/>
    <w:rsid w:val="00387778"/>
    <w:rsid w:val="003916AE"/>
    <w:rsid w:val="003948C0"/>
    <w:rsid w:val="003E5DB6"/>
    <w:rsid w:val="003F78F4"/>
    <w:rsid w:val="004010DF"/>
    <w:rsid w:val="00406940"/>
    <w:rsid w:val="004149FE"/>
    <w:rsid w:val="00430E53"/>
    <w:rsid w:val="00454658"/>
    <w:rsid w:val="004637C3"/>
    <w:rsid w:val="004730C0"/>
    <w:rsid w:val="00484E04"/>
    <w:rsid w:val="00490FF0"/>
    <w:rsid w:val="004B3AF2"/>
    <w:rsid w:val="004B7D12"/>
    <w:rsid w:val="004F11B6"/>
    <w:rsid w:val="004F525C"/>
    <w:rsid w:val="00506587"/>
    <w:rsid w:val="00517437"/>
    <w:rsid w:val="005409FF"/>
    <w:rsid w:val="005435CE"/>
    <w:rsid w:val="00545934"/>
    <w:rsid w:val="00545C73"/>
    <w:rsid w:val="005A24E1"/>
    <w:rsid w:val="005C3539"/>
    <w:rsid w:val="006138CF"/>
    <w:rsid w:val="00650E12"/>
    <w:rsid w:val="006563EC"/>
    <w:rsid w:val="00666CBF"/>
    <w:rsid w:val="00670E79"/>
    <w:rsid w:val="00677985"/>
    <w:rsid w:val="006A66BF"/>
    <w:rsid w:val="006E4A1C"/>
    <w:rsid w:val="00740CD4"/>
    <w:rsid w:val="007759A9"/>
    <w:rsid w:val="007A1897"/>
    <w:rsid w:val="007B3A5E"/>
    <w:rsid w:val="007B4A97"/>
    <w:rsid w:val="007B535D"/>
    <w:rsid w:val="007C1447"/>
    <w:rsid w:val="007C2070"/>
    <w:rsid w:val="007C458D"/>
    <w:rsid w:val="007E0532"/>
    <w:rsid w:val="007E1321"/>
    <w:rsid w:val="00832E16"/>
    <w:rsid w:val="008610FC"/>
    <w:rsid w:val="008B00FF"/>
    <w:rsid w:val="008B0D3F"/>
    <w:rsid w:val="008F57C1"/>
    <w:rsid w:val="008F799B"/>
    <w:rsid w:val="00900D14"/>
    <w:rsid w:val="00901217"/>
    <w:rsid w:val="00924948"/>
    <w:rsid w:val="00925CDD"/>
    <w:rsid w:val="00926BB4"/>
    <w:rsid w:val="00944237"/>
    <w:rsid w:val="00955B96"/>
    <w:rsid w:val="009922E7"/>
    <w:rsid w:val="009925A6"/>
    <w:rsid w:val="009A00F1"/>
    <w:rsid w:val="00A073B6"/>
    <w:rsid w:val="00A55E93"/>
    <w:rsid w:val="00A71DF4"/>
    <w:rsid w:val="00A7335B"/>
    <w:rsid w:val="00A94ED0"/>
    <w:rsid w:val="00A97510"/>
    <w:rsid w:val="00AA4195"/>
    <w:rsid w:val="00AA7BD8"/>
    <w:rsid w:val="00AB7F1D"/>
    <w:rsid w:val="00AD1163"/>
    <w:rsid w:val="00B01068"/>
    <w:rsid w:val="00B10293"/>
    <w:rsid w:val="00B10CC0"/>
    <w:rsid w:val="00B60880"/>
    <w:rsid w:val="00B74ECE"/>
    <w:rsid w:val="00B8123D"/>
    <w:rsid w:val="00B917FA"/>
    <w:rsid w:val="00BA44B7"/>
    <w:rsid w:val="00BF2F56"/>
    <w:rsid w:val="00C00F9E"/>
    <w:rsid w:val="00C308F0"/>
    <w:rsid w:val="00C33B87"/>
    <w:rsid w:val="00C41B0C"/>
    <w:rsid w:val="00C60D85"/>
    <w:rsid w:val="00C6720B"/>
    <w:rsid w:val="00C73971"/>
    <w:rsid w:val="00CA3544"/>
    <w:rsid w:val="00CC69A6"/>
    <w:rsid w:val="00CF611B"/>
    <w:rsid w:val="00D00350"/>
    <w:rsid w:val="00D270B8"/>
    <w:rsid w:val="00D44D84"/>
    <w:rsid w:val="00D55594"/>
    <w:rsid w:val="00D72C92"/>
    <w:rsid w:val="00D848A5"/>
    <w:rsid w:val="00DC19D0"/>
    <w:rsid w:val="00DF2A71"/>
    <w:rsid w:val="00DF3FE7"/>
    <w:rsid w:val="00DF6D33"/>
    <w:rsid w:val="00E0028C"/>
    <w:rsid w:val="00E03843"/>
    <w:rsid w:val="00E26F83"/>
    <w:rsid w:val="00E44987"/>
    <w:rsid w:val="00E707E6"/>
    <w:rsid w:val="00EA0E4F"/>
    <w:rsid w:val="00EA6BBE"/>
    <w:rsid w:val="00EC2BD0"/>
    <w:rsid w:val="00EF0812"/>
    <w:rsid w:val="00F01449"/>
    <w:rsid w:val="00FB4B0A"/>
    <w:rsid w:val="00FD7498"/>
    <w:rsid w:val="00FE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E5B104"/>
  <w15:docId w15:val="{B1322404-421C-4F20-86D1-3EA15F87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AB"/>
    <w:pPr>
      <w:spacing w:after="160" w:line="259"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9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9A9"/>
  </w:style>
  <w:style w:type="paragraph" w:styleId="a5">
    <w:name w:val="footer"/>
    <w:basedOn w:val="a"/>
    <w:link w:val="a6"/>
    <w:uiPriority w:val="99"/>
    <w:unhideWhenUsed/>
    <w:rsid w:val="007759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9A9"/>
  </w:style>
  <w:style w:type="paragraph" w:styleId="a7">
    <w:name w:val="Balloon Text"/>
    <w:basedOn w:val="a"/>
    <w:link w:val="a8"/>
    <w:uiPriority w:val="99"/>
    <w:semiHidden/>
    <w:unhideWhenUsed/>
    <w:rsid w:val="007759A9"/>
    <w:pPr>
      <w:spacing w:after="0" w:line="240" w:lineRule="auto"/>
    </w:pPr>
    <w:rPr>
      <w:rFonts w:ascii="Tahoma" w:hAnsi="Tahoma"/>
      <w:sz w:val="16"/>
      <w:szCs w:val="16"/>
    </w:rPr>
  </w:style>
  <w:style w:type="character" w:customStyle="1" w:styleId="a8">
    <w:name w:val="Текст выноски Знак"/>
    <w:link w:val="a7"/>
    <w:uiPriority w:val="99"/>
    <w:semiHidden/>
    <w:rsid w:val="007759A9"/>
    <w:rPr>
      <w:rFonts w:ascii="Tahoma" w:hAnsi="Tahoma" w:cs="Tahoma"/>
      <w:sz w:val="16"/>
      <w:szCs w:val="16"/>
    </w:rPr>
  </w:style>
  <w:style w:type="paragraph" w:styleId="a9">
    <w:name w:val="Normal (Web)"/>
    <w:basedOn w:val="a"/>
    <w:uiPriority w:val="99"/>
    <w:unhideWhenUsed/>
    <w:rsid w:val="00D00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84E04"/>
    <w:pPr>
      <w:widowControl w:val="0"/>
      <w:autoSpaceDE w:val="0"/>
      <w:autoSpaceDN w:val="0"/>
      <w:adjustRightInd w:val="0"/>
    </w:pPr>
    <w:rPr>
      <w:rFonts w:ascii="Arial" w:eastAsia="Times New Roman" w:hAnsi="Arial" w:cs="Arial"/>
      <w:lang w:eastAsia="ru-RU"/>
    </w:rPr>
  </w:style>
  <w:style w:type="table" w:styleId="aa">
    <w:name w:val="Table Grid"/>
    <w:basedOn w:val="a1"/>
    <w:uiPriority w:val="59"/>
    <w:rsid w:val="00B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Абзац списка основной,ПАРАГРАФ,Bullet List,FooterText,numbered,список 1"/>
    <w:basedOn w:val="a"/>
    <w:link w:val="ac"/>
    <w:uiPriority w:val="34"/>
    <w:qFormat/>
    <w:rsid w:val="002328AB"/>
    <w:pPr>
      <w:ind w:left="720"/>
      <w:contextualSpacing/>
    </w:pPr>
  </w:style>
  <w:style w:type="character" w:customStyle="1" w:styleId="ac">
    <w:name w:val="Абзац списка Знак"/>
    <w:aliases w:val="Абзац списка основной Знак,ПАРАГРАФ Знак,Bullet List Знак,FooterText Знак,numbered Знак,список 1 Знак"/>
    <w:link w:val="ab"/>
    <w:uiPriority w:val="34"/>
    <w:locked/>
    <w:rsid w:val="002328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at@patients.ru" TargetMode="External"/><Relationship Id="rId1" Type="http://schemas.openxmlformats.org/officeDocument/2006/relationships/hyperlink" Target="http://www.patients.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9595</CharactersWithSpaces>
  <SharedDoc>false</SharedDoc>
  <HLinks>
    <vt:vector size="12" baseType="variant">
      <vt:variant>
        <vt:i4>2621452</vt:i4>
      </vt:variant>
      <vt:variant>
        <vt:i4>3</vt:i4>
      </vt:variant>
      <vt:variant>
        <vt:i4>0</vt:i4>
      </vt:variant>
      <vt:variant>
        <vt:i4>5</vt:i4>
      </vt:variant>
      <vt:variant>
        <vt:lpwstr>mailto:pat@patients.ru</vt:lpwstr>
      </vt:variant>
      <vt:variant>
        <vt:lpwstr/>
      </vt:variant>
      <vt:variant>
        <vt:i4>6619191</vt:i4>
      </vt:variant>
      <vt:variant>
        <vt:i4>0</vt:i4>
      </vt:variant>
      <vt:variant>
        <vt:i4>0</vt:i4>
      </vt:variant>
      <vt:variant>
        <vt:i4>5</vt:i4>
      </vt:variant>
      <vt:variant>
        <vt:lpwstr>http://www.patients.ru/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Windows User</cp:lastModifiedBy>
  <cp:revision>15</cp:revision>
  <cp:lastPrinted>2018-09-17T07:07:00Z</cp:lastPrinted>
  <dcterms:created xsi:type="dcterms:W3CDTF">2018-12-29T09:20:00Z</dcterms:created>
  <dcterms:modified xsi:type="dcterms:W3CDTF">2019-06-17T22:01:00Z</dcterms:modified>
</cp:coreProperties>
</file>