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3B" w:rsidRPr="008D667E" w:rsidRDefault="00B32F3B" w:rsidP="00B32F3B">
      <w:pPr>
        <w:spacing w:line="240" w:lineRule="auto"/>
        <w:jc w:val="center"/>
        <w:rPr>
          <w:rFonts w:ascii="Times New Roman" w:hAnsi="Times New Roman"/>
          <w:b/>
          <w:sz w:val="24"/>
        </w:rPr>
      </w:pPr>
      <w:r w:rsidRPr="008D667E">
        <w:rPr>
          <w:rFonts w:ascii="Times New Roman" w:hAnsi="Times New Roman"/>
          <w:b/>
          <w:sz w:val="24"/>
        </w:rPr>
        <w:t xml:space="preserve">РЕЗОЛЮЦИЯ </w:t>
      </w:r>
    </w:p>
    <w:p w:rsidR="00B32F3B" w:rsidRDefault="00B32F3B" w:rsidP="00B32F3B">
      <w:pPr>
        <w:spacing w:line="240" w:lineRule="auto"/>
        <w:jc w:val="center"/>
        <w:rPr>
          <w:rFonts w:ascii="Times New Roman" w:hAnsi="Times New Roman"/>
          <w:b/>
          <w:sz w:val="24"/>
        </w:rPr>
      </w:pPr>
      <w:r w:rsidRPr="008D667E">
        <w:rPr>
          <w:rFonts w:ascii="Times New Roman" w:hAnsi="Times New Roman"/>
          <w:b/>
          <w:sz w:val="24"/>
        </w:rPr>
        <w:t>Круглого стола «</w:t>
      </w:r>
      <w:r w:rsidRPr="00B32F3B">
        <w:rPr>
          <w:rFonts w:ascii="Times New Roman" w:hAnsi="Times New Roman"/>
          <w:b/>
          <w:sz w:val="24"/>
        </w:rPr>
        <w:t>По проблемам больных с болезнью Бехтерева</w:t>
      </w:r>
      <w:r w:rsidRPr="008D667E">
        <w:rPr>
          <w:rFonts w:ascii="Times New Roman" w:hAnsi="Times New Roman"/>
          <w:b/>
          <w:sz w:val="24"/>
        </w:rPr>
        <w:t xml:space="preserve">» </w:t>
      </w:r>
    </w:p>
    <w:p w:rsidR="00B32F3B" w:rsidRPr="00D270B8" w:rsidRDefault="00B32F3B" w:rsidP="00B32F3B">
      <w:pPr>
        <w:widowControl w:val="0"/>
        <w:autoSpaceDE w:val="0"/>
        <w:autoSpaceDN w:val="0"/>
        <w:adjustRightInd w:val="0"/>
        <w:ind w:left="34"/>
        <w:jc w:val="center"/>
        <w:rPr>
          <w:rFonts w:ascii="Times New Roman" w:hAnsi="Times New Roman"/>
          <w:b/>
          <w:i/>
          <w:sz w:val="24"/>
          <w:szCs w:val="24"/>
        </w:rPr>
      </w:pPr>
      <w:r w:rsidRPr="00D270B8">
        <w:rPr>
          <w:rFonts w:ascii="Times New Roman" w:hAnsi="Times New Roman"/>
          <w:b/>
          <w:i/>
          <w:sz w:val="24"/>
          <w:szCs w:val="24"/>
        </w:rPr>
        <w:t>Россия, Москва, 29 ноября 2018 года</w:t>
      </w:r>
    </w:p>
    <w:p w:rsidR="00B32F3B" w:rsidRDefault="00B32F3B" w:rsidP="00B32F3B">
      <w:pPr>
        <w:spacing w:after="80" w:line="240" w:lineRule="auto"/>
        <w:ind w:firstLine="708"/>
        <w:jc w:val="both"/>
        <w:rPr>
          <w:rFonts w:ascii="Times New Roman" w:hAnsi="Times New Roman"/>
          <w:sz w:val="24"/>
        </w:rPr>
      </w:pPr>
      <w:r w:rsidRPr="00D270B8">
        <w:rPr>
          <w:rFonts w:ascii="Times New Roman" w:hAnsi="Times New Roman"/>
          <w:sz w:val="24"/>
        </w:rPr>
        <w:t>Н</w:t>
      </w:r>
      <w:r w:rsidRPr="008D667E">
        <w:rPr>
          <w:rFonts w:ascii="Times New Roman" w:hAnsi="Times New Roman"/>
          <w:sz w:val="24"/>
        </w:rPr>
        <w:t>а площадке IХ Всероссийского конгресса пациентов «Взаимодействие власти и пациентского сообщества как основа построения пациент-ориентированного здравоох</w:t>
      </w:r>
      <w:r>
        <w:rPr>
          <w:rFonts w:ascii="Times New Roman" w:hAnsi="Times New Roman"/>
          <w:sz w:val="24"/>
        </w:rPr>
        <w:t>ранения в Российской Федерации»</w:t>
      </w:r>
      <w:r w:rsidRPr="008D667E">
        <w:rPr>
          <w:rFonts w:ascii="Times New Roman" w:hAnsi="Times New Roman"/>
          <w:sz w:val="24"/>
        </w:rPr>
        <w:t xml:space="preserve"> состоялся круглый стол «</w:t>
      </w:r>
      <w:r w:rsidRPr="00B32F3B">
        <w:rPr>
          <w:rFonts w:ascii="Times New Roman" w:hAnsi="Times New Roman"/>
          <w:sz w:val="24"/>
        </w:rPr>
        <w:t>По проблемам больных с болезнью Бехтерева</w:t>
      </w:r>
      <w:r w:rsidRPr="008D667E">
        <w:rPr>
          <w:rFonts w:ascii="Times New Roman" w:hAnsi="Times New Roman"/>
          <w:sz w:val="24"/>
        </w:rPr>
        <w:t>».</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Организатором круглого стола выступили Всероссийский союз пациентов, МРОБОИ Общество взаимопомощи при болезни Бехтерева, объединяющее 20 региональных представительств, при поддержке Ассоциации ревматологов России, ФГБНУ НИИ ревматологии им. В.А. Насоновой, Всероссийского союза пациентов.</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В обсуждении основных вопросов организации системы ревматологической помощи приняли участие эксперты – представители Министерства здравоохранения РФ, МРОБОИ Общество взаимо</w:t>
      </w:r>
      <w:r>
        <w:rPr>
          <w:rFonts w:ascii="Times New Roman" w:hAnsi="Times New Roman"/>
          <w:sz w:val="24"/>
        </w:rPr>
        <w:t>помощи при болезни Бехтерева</w:t>
      </w:r>
      <w:r w:rsidRPr="006B2F1C">
        <w:rPr>
          <w:rFonts w:ascii="Times New Roman" w:hAnsi="Times New Roman"/>
          <w:sz w:val="24"/>
        </w:rPr>
        <w:t>, Общественной палаты РФ, Ассоциации ревматологов России, ФГБНУ НИИР им. В.А. Насоновой, Института экономики здравоохранения НИУ ВШЭ, Всероссийского союза пациентов и других пациентских организаций.</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Участники круглого стола обсудили представленные экспертами результаты исследований сложившейся системы медицинской помощи и лекарственного обеспечения пациентов с болезнью Бехтерева и другими ревматическими заболеваниями, экономическую и социальную эффективность различных подходов к организации ревматологической помощи.</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Участники дискуссии отмечают, что наряду с позитивными изменениями в организации медицинской помощи и лекарственного обеспечения пациентов с ревматическими заболеваниями, существуют вопросы, связанные как со стандартами, политиками и законодательными основами, не соответствующими современным подходам и ключевым целям терапии, так и подходами к финансированию лекарственного обеспечения пациентов. Сложившаяся ситуация часто приводит к тому, что пациенты с ревматическими заболеваниями из-за невозможности своевременно получать эффективную терапию теряют трудоспособность, а качество их жизни значительно снижается.</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Обсуждая тему организации ревматологической помощи пациентам с болезнью Бехтерева в Российской Федерации, участники круглого стола отмечают следующие позитивные изменения:</w:t>
      </w:r>
    </w:p>
    <w:p w:rsidR="006B2F1C" w:rsidRPr="006B2F1C" w:rsidRDefault="006B2F1C" w:rsidP="006B2F1C">
      <w:pPr>
        <w:spacing w:after="80" w:line="240" w:lineRule="auto"/>
        <w:jc w:val="both"/>
        <w:rPr>
          <w:rFonts w:ascii="Times New Roman" w:hAnsi="Times New Roman"/>
          <w:sz w:val="24"/>
        </w:rPr>
      </w:pPr>
      <w:r>
        <w:rPr>
          <w:rFonts w:ascii="Times New Roman" w:hAnsi="Times New Roman"/>
          <w:sz w:val="24"/>
        </w:rPr>
        <w:t>- П</w:t>
      </w:r>
      <w:r w:rsidRPr="006B2F1C">
        <w:rPr>
          <w:rFonts w:ascii="Times New Roman" w:hAnsi="Times New Roman"/>
          <w:sz w:val="24"/>
        </w:rPr>
        <w:t>ринятые в 2018 г. поправки в Постановление правительства, в соответствии с которыми изменена процедура медико-социальной экспертизы, с внесением в перечень заболеваний, при которых инвалидность может быть установлена бессрочно после первой экспертизы, ряда ревматических заболеваний;</w:t>
      </w:r>
    </w:p>
    <w:p w:rsidR="006B2F1C" w:rsidRPr="006B2F1C" w:rsidRDefault="006B2F1C" w:rsidP="006B2F1C">
      <w:pPr>
        <w:spacing w:after="80" w:line="240" w:lineRule="auto"/>
        <w:jc w:val="both"/>
        <w:rPr>
          <w:rFonts w:ascii="Times New Roman" w:hAnsi="Times New Roman"/>
          <w:sz w:val="24"/>
        </w:rPr>
      </w:pPr>
      <w:r>
        <w:rPr>
          <w:rFonts w:ascii="Times New Roman" w:hAnsi="Times New Roman"/>
          <w:sz w:val="24"/>
        </w:rPr>
        <w:t>- В</w:t>
      </w:r>
      <w:r w:rsidRPr="006B2F1C">
        <w:rPr>
          <w:rFonts w:ascii="Times New Roman" w:hAnsi="Times New Roman"/>
          <w:sz w:val="24"/>
        </w:rPr>
        <w:t>озвращение анкилозирующего спондилита в список заболеваний, при лечении которых санаторно-курортное лечение предоставляется бесплатно за счет государства. Однако, как было отмечено, это становится возможным только при наличии инвалидности;</w:t>
      </w:r>
    </w:p>
    <w:p w:rsidR="006B2F1C" w:rsidRPr="006B2F1C" w:rsidRDefault="006B2F1C" w:rsidP="006B2F1C">
      <w:pPr>
        <w:spacing w:after="80" w:line="240" w:lineRule="auto"/>
        <w:jc w:val="both"/>
        <w:rPr>
          <w:rFonts w:ascii="Times New Roman" w:hAnsi="Times New Roman"/>
          <w:sz w:val="24"/>
        </w:rPr>
      </w:pPr>
      <w:r>
        <w:rPr>
          <w:rFonts w:ascii="Times New Roman" w:hAnsi="Times New Roman"/>
          <w:sz w:val="24"/>
        </w:rPr>
        <w:t>- О</w:t>
      </w:r>
      <w:r w:rsidRPr="006B2F1C">
        <w:rPr>
          <w:rFonts w:ascii="Times New Roman" w:hAnsi="Times New Roman"/>
          <w:sz w:val="24"/>
        </w:rPr>
        <w:t xml:space="preserve">ткрытость государства, а также учреждений и институтов, связанных с организацией здравоохранения, в вопросах поддержки, планирования и реализации инициатив, </w:t>
      </w:r>
      <w:r w:rsidRPr="006B2F1C">
        <w:rPr>
          <w:rFonts w:ascii="Times New Roman" w:hAnsi="Times New Roman"/>
          <w:sz w:val="24"/>
        </w:rPr>
        <w:lastRenderedPageBreak/>
        <w:t>предлагаемых пациентами с ревматическими заболеваниями и профильными врачебными ассоциациями.</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В то же время, требуется изменение подхода к организации медицинской помощи и льготного лекарственного обеспечения пациентов с болезнью Бехтерева и другими ревматическими заболеваниями, которое в настоящее время ставит получение современной эффективной терапии в зависимость от наличия инвалидности. Между тем, основная задача лечения для пациентов с ревматическими заболеваниями – достижение ремиссии, замедление развития заболевания и, таким образом, предотвращение их инвалидизации в трудоспособном возрасте. Такие изменения требуют более тщательного анализа и решения целого ряда вопросов, в том числе на законодательном уровне.</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 xml:space="preserve">В частности, на сегодняшний день не налажен должным образом статистический учет пациентов с ревматическими заболеваниями. Пациентские регистры на региональном уровне, как правило, охватывают только больных, получающих терапию генно-инженерными биологическими препаратами (ГИБП), включенными в перечень льготных лекарственных средств. Предоставление данных в федеральный регистр не является обязательным для регионов, что резко снижает релевантность существующей информации. Официально в России зарегистрировано 303 тысячи пациентов с ревматоидным артритом, 33 тыс. пациентов с болезнью Бехтерева (анкилозирующий спондилит), а также 20 тыс. – с псориатическим артритом. Однако, реальная численность пациентов гораздо выше: например, по данным международных организаций, заболеваемость анкилозирующим спондилитом составляет до 1,5% населения, что в масштабах России составляет более 1,5 млн человек. </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Средний возраст пациентов с болезнью Бехтерева составляет 18-45 лет – активный трудоспособный возраст. Болезнь Бехтерева, как и другие хронические ревматические заболевания, прогрессируют с течением времени, поэтому большинство пациентов нуждается в терапии на протяжении всей жизни. По мнению экспертов, основные факторы успешного лечения - раннее назначение базисной терапии, а при ее неэффективности – проведение ГИБП.</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По данным исследования НИИ ревматологии им. В.А. Насо</w:t>
      </w:r>
      <w:r>
        <w:rPr>
          <w:rFonts w:ascii="Times New Roman" w:hAnsi="Times New Roman"/>
          <w:sz w:val="24"/>
        </w:rPr>
        <w:t>новой, опубликованного в 2018 году,</w:t>
      </w:r>
      <w:r w:rsidRPr="006B2F1C">
        <w:rPr>
          <w:rFonts w:ascii="Times New Roman" w:hAnsi="Times New Roman"/>
          <w:sz w:val="24"/>
        </w:rPr>
        <w:t xml:space="preserve"> до 30% пациентов с ревматическими заболеваниями нуждаются в терапии ГИБП из-за неэффективности предшествующего лечения. Без этой терапии до 80% пациентов становятся инвалидами. Между тем, получают терапию ГИПБ в зависимости от региона - от 25% до 80% нуждающихся в ней пациентов. Среди основных причин – недостаточное финансирование региональных программ льготного лекарственного обеспечения и его планирование на основе неточной статистики, а также частые отказы в назначении терапии в связи с отсутствием у пациентов инвалидности. </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Таким образом, создается ситуация, когда современную эффективную терапию, призванную не допустить прогрессирования заболевания и инвалидизации пациентов, может получить только инвалид, что противоречит логике, интересам пациентов и общества, теряющего людей активного возраста.</w:t>
      </w:r>
      <w:r>
        <w:rPr>
          <w:rFonts w:ascii="Times New Roman" w:hAnsi="Times New Roman"/>
          <w:sz w:val="24"/>
        </w:rPr>
        <w:t xml:space="preserve"> По мнению экспертов Бюро МСЭ города</w:t>
      </w:r>
      <w:r w:rsidRPr="006B2F1C">
        <w:rPr>
          <w:rFonts w:ascii="Times New Roman" w:hAnsi="Times New Roman"/>
          <w:sz w:val="24"/>
        </w:rPr>
        <w:t xml:space="preserve"> Москвы, необоснованным является направление пациентов с ревматическими заболеваниями для получения инвалидности, когда цель получения статуса - только назначение или продление терапии ГИБП. Тем не менее, такая практика в различных регионах распространена, и по каждому случаю отказа в назначении ГИПБ в связи с отсутствием инвалидности пациентам приходится предпринимать отдельные усилия, чтобы добиться жизненно важного для них лечения.</w:t>
      </w:r>
    </w:p>
    <w:p w:rsid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 xml:space="preserve">С экономической точки зрения, изменение подхода к финансированию лекарственного обеспечения и незначительное увеличение расходов может привести к многократному росту числа пациентов, получающих необходимую терапию. А, значит, к сохранению трудоспособности тысяч пациентов и сокращению расходов на социальные выплаты по инвалидности. В настоящее время из 107 тысяч нуждающихся в ГИБП </w:t>
      </w:r>
      <w:r w:rsidRPr="006B2F1C">
        <w:rPr>
          <w:rFonts w:ascii="Times New Roman" w:hAnsi="Times New Roman"/>
          <w:sz w:val="24"/>
        </w:rPr>
        <w:lastRenderedPageBreak/>
        <w:t>пациентов получают терапию 20 тысяч, а экономическое бремя на лечение составляет 168 млрд руб. При увеличении экономического бремени до 176 млрд руб. и правильной организации лекарственного обеспечения терапию смогут получать 100% нуждающихся в ней пациентов, минимум 80% из них сохранят трудоспособность.</w:t>
      </w:r>
    </w:p>
    <w:p w:rsidR="003E3D72" w:rsidRPr="008D667E" w:rsidRDefault="003E3D72" w:rsidP="003E3D72">
      <w:pPr>
        <w:spacing w:before="120" w:after="120" w:line="240" w:lineRule="auto"/>
        <w:ind w:firstLine="708"/>
        <w:jc w:val="both"/>
        <w:rPr>
          <w:rFonts w:ascii="Times New Roman" w:hAnsi="Times New Roman"/>
          <w:color w:val="538135" w:themeColor="accent6" w:themeShade="BF"/>
          <w:sz w:val="24"/>
        </w:rPr>
      </w:pPr>
      <w:r w:rsidRPr="008D667E">
        <w:rPr>
          <w:rFonts w:ascii="Times New Roman" w:hAnsi="Times New Roman"/>
          <w:b/>
          <w:sz w:val="24"/>
        </w:rPr>
        <w:t>Рекомендации участников круглого стола</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 xml:space="preserve">Опираясь на данные исследований, </w:t>
      </w:r>
      <w:r w:rsidRPr="003E3D72">
        <w:rPr>
          <w:rFonts w:ascii="Times New Roman" w:hAnsi="Times New Roman"/>
          <w:b/>
          <w:sz w:val="24"/>
        </w:rPr>
        <w:t>эксперты круглого стола предлагают меры</w:t>
      </w:r>
      <w:r w:rsidRPr="006B2F1C">
        <w:rPr>
          <w:rFonts w:ascii="Times New Roman" w:hAnsi="Times New Roman"/>
          <w:sz w:val="24"/>
        </w:rPr>
        <w:t xml:space="preserve">, которые будут способствовать изменению организации ревматологической помощи и лекарственного обеспечения: </w:t>
      </w:r>
    </w:p>
    <w:p w:rsidR="006B2F1C" w:rsidRPr="006B2F1C" w:rsidRDefault="003E3D72" w:rsidP="003E3D72">
      <w:pPr>
        <w:spacing w:after="80" w:line="240" w:lineRule="auto"/>
        <w:jc w:val="both"/>
        <w:rPr>
          <w:rFonts w:ascii="Times New Roman" w:hAnsi="Times New Roman"/>
          <w:sz w:val="24"/>
        </w:rPr>
      </w:pPr>
      <w:r>
        <w:rPr>
          <w:rFonts w:ascii="Times New Roman" w:hAnsi="Times New Roman"/>
          <w:sz w:val="24"/>
        </w:rPr>
        <w:t>1. Р</w:t>
      </w:r>
      <w:r w:rsidR="006B2F1C" w:rsidRPr="006B2F1C">
        <w:rPr>
          <w:rFonts w:ascii="Times New Roman" w:hAnsi="Times New Roman"/>
          <w:sz w:val="24"/>
        </w:rPr>
        <w:t>азработать и утвердить эффективную процедуру организации и ведения достоверного и полного федерального регистра пациентов с ревматическими заболеваниями, включая систему учета и контроля применения ГИБП;</w:t>
      </w:r>
    </w:p>
    <w:p w:rsidR="006B2F1C" w:rsidRPr="006B2F1C" w:rsidRDefault="003E3D72" w:rsidP="003E3D72">
      <w:pPr>
        <w:spacing w:after="80" w:line="240" w:lineRule="auto"/>
        <w:jc w:val="both"/>
        <w:rPr>
          <w:rFonts w:ascii="Times New Roman" w:hAnsi="Times New Roman"/>
          <w:sz w:val="24"/>
        </w:rPr>
      </w:pPr>
      <w:r>
        <w:rPr>
          <w:rFonts w:ascii="Times New Roman" w:hAnsi="Times New Roman"/>
          <w:sz w:val="24"/>
        </w:rPr>
        <w:t>2. П</w:t>
      </w:r>
      <w:r w:rsidR="006B2F1C" w:rsidRPr="006B2F1C">
        <w:rPr>
          <w:rFonts w:ascii="Times New Roman" w:hAnsi="Times New Roman"/>
          <w:sz w:val="24"/>
        </w:rPr>
        <w:t>ринять современный стандарт оказания медицинской помощи пациентам с ревматическими заболеваниями вместо устаревшего стандарта Минздрава России № 41 от 2007 г.;</w:t>
      </w:r>
    </w:p>
    <w:p w:rsidR="003E3D72" w:rsidRDefault="003E3D72" w:rsidP="003E3D72">
      <w:pPr>
        <w:spacing w:after="80" w:line="240" w:lineRule="auto"/>
        <w:jc w:val="both"/>
        <w:rPr>
          <w:rFonts w:ascii="Times New Roman" w:hAnsi="Times New Roman"/>
          <w:sz w:val="24"/>
        </w:rPr>
      </w:pPr>
      <w:r>
        <w:rPr>
          <w:rFonts w:ascii="Times New Roman" w:hAnsi="Times New Roman"/>
          <w:sz w:val="24"/>
        </w:rPr>
        <w:t>3. З</w:t>
      </w:r>
      <w:r w:rsidR="006B2F1C" w:rsidRPr="006B2F1C">
        <w:rPr>
          <w:rFonts w:ascii="Times New Roman" w:hAnsi="Times New Roman"/>
          <w:sz w:val="24"/>
        </w:rPr>
        <w:t>аконодательно закрепить право пациентов с ревматическими заболеваниями на терапию ГИБП и другие виды длительной терапии без учета наличия инвалидности;</w:t>
      </w:r>
    </w:p>
    <w:p w:rsidR="006B2F1C" w:rsidRPr="006B2F1C" w:rsidRDefault="003E3D72" w:rsidP="003E3D72">
      <w:pPr>
        <w:spacing w:after="80" w:line="240" w:lineRule="auto"/>
        <w:jc w:val="both"/>
        <w:rPr>
          <w:rFonts w:ascii="Times New Roman" w:hAnsi="Times New Roman"/>
          <w:sz w:val="24"/>
        </w:rPr>
      </w:pPr>
      <w:r>
        <w:rPr>
          <w:rFonts w:ascii="Times New Roman" w:hAnsi="Times New Roman"/>
          <w:sz w:val="24"/>
        </w:rPr>
        <w:t>4. П</w:t>
      </w:r>
      <w:r w:rsidR="006B2F1C" w:rsidRPr="006B2F1C">
        <w:rPr>
          <w:rFonts w:ascii="Times New Roman" w:hAnsi="Times New Roman"/>
          <w:sz w:val="24"/>
        </w:rPr>
        <w:t>овысить охват пациентов терапией ГИБП до среднемировых норм (15% численности пациентов), что соответствует оценке доли пациентов, для которых неэффективна базисная терапия, ориентируясь не на финансирование, а на реальную потребность. Для этого необходимо, в том числе, использовать возможности применения биоаналогов ГИБП, что позволит увеличить охват пациентов высокотехнологичной помощью;</w:t>
      </w:r>
    </w:p>
    <w:p w:rsidR="006B2F1C" w:rsidRPr="006B2F1C" w:rsidRDefault="003E3D72" w:rsidP="003E3D72">
      <w:pPr>
        <w:spacing w:after="80" w:line="240" w:lineRule="auto"/>
        <w:jc w:val="both"/>
        <w:rPr>
          <w:rFonts w:ascii="Times New Roman" w:hAnsi="Times New Roman"/>
          <w:sz w:val="24"/>
        </w:rPr>
      </w:pPr>
      <w:r>
        <w:rPr>
          <w:rFonts w:ascii="Times New Roman" w:hAnsi="Times New Roman"/>
          <w:sz w:val="24"/>
        </w:rPr>
        <w:t>5. П</w:t>
      </w:r>
      <w:r w:rsidR="006B2F1C" w:rsidRPr="006B2F1C">
        <w:rPr>
          <w:rFonts w:ascii="Times New Roman" w:hAnsi="Times New Roman"/>
          <w:sz w:val="24"/>
        </w:rPr>
        <w:t>ринять в качестве основного показателя эффективности ревматологической службы профилактику инвалидизации пациентов с ревматическими заболеваниями, в том числе за счет своевременного применения высокотехнологичного лечения ГИБП;</w:t>
      </w:r>
    </w:p>
    <w:p w:rsidR="006B2F1C" w:rsidRPr="006B2F1C" w:rsidRDefault="003E3D72" w:rsidP="003E3D72">
      <w:pPr>
        <w:spacing w:after="80" w:line="240" w:lineRule="auto"/>
        <w:jc w:val="both"/>
        <w:rPr>
          <w:rFonts w:ascii="Times New Roman" w:hAnsi="Times New Roman"/>
          <w:sz w:val="24"/>
        </w:rPr>
      </w:pPr>
      <w:r>
        <w:rPr>
          <w:rFonts w:ascii="Times New Roman" w:hAnsi="Times New Roman"/>
          <w:sz w:val="24"/>
        </w:rPr>
        <w:t>6. С</w:t>
      </w:r>
      <w:r w:rsidR="006B2F1C" w:rsidRPr="006B2F1C">
        <w:rPr>
          <w:rFonts w:ascii="Times New Roman" w:hAnsi="Times New Roman"/>
          <w:sz w:val="24"/>
        </w:rPr>
        <w:t>оздать рабочую группу при Министерстве здравоохранения с участием представителей управления здравоохранением федерального и регионального уровней, профильного медицинского сообщества, пациентских организаций, экспертов системы здравоохранения для выработки изменений и дополнений в федеральное и региональное законодательство, обеспечивающих оптимизацию медицинской помощи и лекарственного обеспечения в интересах пациентов, а также с учетом современных международных подходов к лечению ревматических заболеваний;</w:t>
      </w:r>
    </w:p>
    <w:p w:rsidR="006B2F1C" w:rsidRPr="006B2F1C" w:rsidRDefault="003E3D72" w:rsidP="003E3D72">
      <w:pPr>
        <w:spacing w:after="80" w:line="240" w:lineRule="auto"/>
        <w:jc w:val="both"/>
        <w:rPr>
          <w:rFonts w:ascii="Times New Roman" w:hAnsi="Times New Roman"/>
          <w:sz w:val="24"/>
        </w:rPr>
      </w:pPr>
      <w:r>
        <w:rPr>
          <w:rFonts w:ascii="Times New Roman" w:hAnsi="Times New Roman"/>
          <w:sz w:val="24"/>
        </w:rPr>
        <w:t>7. П</w:t>
      </w:r>
      <w:r w:rsidR="006B2F1C" w:rsidRPr="006B2F1C">
        <w:rPr>
          <w:rFonts w:ascii="Times New Roman" w:hAnsi="Times New Roman"/>
          <w:sz w:val="24"/>
        </w:rPr>
        <w:t>редложить Министерству здравоохранения РФ подготовить и принять для реализации программу по борьбе с ревматическими заболеваниями, в том числе с учетом международного опыта и с привлечением к ее реализации пациентских организаций;</w:t>
      </w:r>
    </w:p>
    <w:p w:rsidR="006B2F1C" w:rsidRPr="006B2F1C" w:rsidRDefault="003E3D72" w:rsidP="003E3D72">
      <w:pPr>
        <w:spacing w:after="80" w:line="240" w:lineRule="auto"/>
        <w:jc w:val="both"/>
        <w:rPr>
          <w:rFonts w:ascii="Times New Roman" w:hAnsi="Times New Roman"/>
          <w:sz w:val="24"/>
        </w:rPr>
      </w:pPr>
      <w:r>
        <w:rPr>
          <w:rFonts w:ascii="Times New Roman" w:hAnsi="Times New Roman"/>
          <w:sz w:val="24"/>
        </w:rPr>
        <w:t>8. П</w:t>
      </w:r>
      <w:bookmarkStart w:id="0" w:name="_GoBack"/>
      <w:bookmarkEnd w:id="0"/>
      <w:r w:rsidR="006B2F1C" w:rsidRPr="006B2F1C">
        <w:rPr>
          <w:rFonts w:ascii="Times New Roman" w:hAnsi="Times New Roman"/>
          <w:sz w:val="24"/>
        </w:rPr>
        <w:t>редложить Министерству здравоохранения РФ и другим заинтересованным ведомствам внести изменения в форму №12 статистического учета заболеваемости, внеся в нее анкилозирующий спондилит (болезнь Бехтерева) в качестве отдельного заболевания и самостоятельной единицы учета.</w:t>
      </w:r>
    </w:p>
    <w:p w:rsidR="006B2F1C" w:rsidRPr="006B2F1C"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Участники круглого стола уверены, что поэтапная реализация предложенных инициатив будет способствовать повышению качества и эффективности медицинской помощи пациентам с ревматическими заболеваниями, а также позволит сохранить здоровье и жизнь тысячам пациентов, которые смогут внести весомый вклад в экономику и благополучие России.</w:t>
      </w:r>
    </w:p>
    <w:p w:rsidR="00B32F3B" w:rsidRPr="008D667E" w:rsidRDefault="006B2F1C" w:rsidP="006B2F1C">
      <w:pPr>
        <w:spacing w:after="80" w:line="240" w:lineRule="auto"/>
        <w:ind w:firstLine="708"/>
        <w:jc w:val="both"/>
        <w:rPr>
          <w:rFonts w:ascii="Times New Roman" w:hAnsi="Times New Roman"/>
          <w:sz w:val="24"/>
        </w:rPr>
      </w:pPr>
      <w:r w:rsidRPr="006B2F1C">
        <w:rPr>
          <w:rFonts w:ascii="Times New Roman" w:hAnsi="Times New Roman"/>
          <w:sz w:val="24"/>
        </w:rPr>
        <w:t>В свою очередь, эксперты готовы к конструктивному сотрудничеству, активному участию в реализации своих предложений, а также развитию диалога между всеми участниками процесса организации ревматологической помощи в России.</w:t>
      </w:r>
    </w:p>
    <w:p w:rsidR="00B8123D" w:rsidRPr="007E0532" w:rsidRDefault="00B8123D" w:rsidP="000B311C">
      <w:pPr>
        <w:widowControl w:val="0"/>
        <w:spacing w:after="0" w:line="240" w:lineRule="auto"/>
        <w:ind w:firstLine="567"/>
        <w:jc w:val="both"/>
        <w:rPr>
          <w:rFonts w:ascii="Times New Roman" w:hAnsi="Times New Roman"/>
          <w:sz w:val="24"/>
          <w:szCs w:val="24"/>
        </w:rPr>
      </w:pPr>
    </w:p>
    <w:sectPr w:rsidR="00B8123D" w:rsidRPr="007E0532" w:rsidSect="00B8123D">
      <w:footerReference w:type="default" r:id="rId7"/>
      <w:headerReference w:type="first" r:id="rId8"/>
      <w:footerReference w:type="first" r:id="rId9"/>
      <w:pgSz w:w="11906" w:h="16838"/>
      <w:pgMar w:top="1134" w:right="850" w:bottom="1134" w:left="1701" w:header="1103" w:footer="4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9A" w:rsidRDefault="00A82C9A" w:rsidP="007759A9">
      <w:pPr>
        <w:spacing w:after="0" w:line="240" w:lineRule="auto"/>
      </w:pPr>
      <w:r>
        <w:separator/>
      </w:r>
    </w:p>
  </w:endnote>
  <w:endnote w:type="continuationSeparator" w:id="0">
    <w:p w:rsidR="00A82C9A" w:rsidRDefault="00A82C9A" w:rsidP="0077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C0" w:rsidRPr="001B5500" w:rsidRDefault="00545934" w:rsidP="00A71DF4">
    <w:pPr>
      <w:pStyle w:val="a5"/>
      <w:jc w:val="center"/>
      <w:rPr>
        <w:rFonts w:ascii="Times New Roman" w:hAnsi="Times New Roman"/>
        <w:color w:val="595959"/>
      </w:rPr>
    </w:pPr>
    <w:r>
      <w:rPr>
        <w:rFonts w:ascii="Times New Roman" w:hAnsi="Times New Roman"/>
        <w:noProof/>
        <w:color w:val="595959"/>
        <w:lang w:eastAsia="ru-RU"/>
      </w:rPr>
      <w:drawing>
        <wp:anchor distT="0" distB="0" distL="114300" distR="114300" simplePos="0" relativeHeight="251654144" behindDoc="0" locked="0" layoutInCell="1" allowOverlap="1">
          <wp:simplePos x="0" y="0"/>
          <wp:positionH relativeFrom="column">
            <wp:posOffset>-798195</wp:posOffset>
          </wp:positionH>
          <wp:positionV relativeFrom="paragraph">
            <wp:posOffset>-69850</wp:posOffset>
          </wp:positionV>
          <wp:extent cx="7053580" cy="223520"/>
          <wp:effectExtent l="19050" t="0" r="0" b="0"/>
          <wp:wrapNone/>
          <wp:docPr id="10" name="Рисунок 4" descr="бланк составные элементы-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бланк составные элементы-07"/>
                  <pic:cNvPicPr>
                    <a:picLocks noChangeArrowheads="1"/>
                  </pic:cNvPicPr>
                </pic:nvPicPr>
                <pic:blipFill>
                  <a:blip r:embed="rId1"/>
                  <a:srcRect l="3999" t="58755" r="2678" b="-14"/>
                  <a:stretch>
                    <a:fillRect/>
                  </a:stretch>
                </pic:blipFill>
                <pic:spPr bwMode="auto">
                  <a:xfrm>
                    <a:off x="0" y="0"/>
                    <a:ext cx="7053580" cy="223520"/>
                  </a:xfrm>
                  <a:prstGeom prst="rect">
                    <a:avLst/>
                  </a:prstGeom>
                  <a:noFill/>
                </pic:spPr>
              </pic:pic>
            </a:graphicData>
          </a:graphic>
        </wp:anchor>
      </w:drawing>
    </w:r>
    <w:r w:rsidR="00181919" w:rsidRPr="001B5500">
      <w:rPr>
        <w:rFonts w:ascii="Times New Roman" w:hAnsi="Times New Roman"/>
        <w:color w:val="595959"/>
      </w:rPr>
      <w:fldChar w:fldCharType="begin"/>
    </w:r>
    <w:r w:rsidR="004730C0" w:rsidRPr="001B5500">
      <w:rPr>
        <w:rFonts w:ascii="Times New Roman" w:hAnsi="Times New Roman"/>
        <w:color w:val="595959"/>
      </w:rPr>
      <w:instrText xml:space="preserve"> PAGE   \* MERGEFORMAT </w:instrText>
    </w:r>
    <w:r w:rsidR="00181919" w:rsidRPr="001B5500">
      <w:rPr>
        <w:rFonts w:ascii="Times New Roman" w:hAnsi="Times New Roman"/>
        <w:color w:val="595959"/>
      </w:rPr>
      <w:fldChar w:fldCharType="separate"/>
    </w:r>
    <w:r w:rsidR="003E3D72">
      <w:rPr>
        <w:rFonts w:ascii="Times New Roman" w:hAnsi="Times New Roman"/>
        <w:noProof/>
        <w:color w:val="595959"/>
      </w:rPr>
      <w:t>3</w:t>
    </w:r>
    <w:r w:rsidR="00181919" w:rsidRPr="001B5500">
      <w:rPr>
        <w:rFonts w:ascii="Times New Roman" w:hAnsi="Times New Roman"/>
        <w:color w:val="595959"/>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C0" w:rsidRDefault="004730C0" w:rsidP="00EA0E4F">
    <w:pPr>
      <w:pStyle w:val="a5"/>
      <w:jc w:val="center"/>
      <w:rPr>
        <w:rFonts w:ascii="Times New Roman" w:hAnsi="Times New Roman"/>
        <w:color w:val="7F7F7F"/>
      </w:rPr>
    </w:pPr>
  </w:p>
  <w:p w:rsidR="004730C0" w:rsidRPr="00EA0E4F" w:rsidRDefault="00545934" w:rsidP="00EA0E4F">
    <w:pPr>
      <w:pStyle w:val="a5"/>
      <w:jc w:val="center"/>
      <w:rPr>
        <w:rFonts w:ascii="Times New Roman" w:hAnsi="Times New Roman"/>
        <w:color w:val="7F7F7F"/>
      </w:rPr>
    </w:pPr>
    <w:r>
      <w:rPr>
        <w:rFonts w:ascii="Times New Roman" w:hAnsi="Times New Roman"/>
        <w:noProof/>
        <w:color w:val="7F7F7F"/>
        <w:lang w:eastAsia="ru-RU"/>
      </w:rPr>
      <w:drawing>
        <wp:anchor distT="0" distB="0" distL="114300" distR="114300" simplePos="0" relativeHeight="251660288" behindDoc="0" locked="0" layoutInCell="1" allowOverlap="1">
          <wp:simplePos x="0" y="0"/>
          <wp:positionH relativeFrom="column">
            <wp:posOffset>-749300</wp:posOffset>
          </wp:positionH>
          <wp:positionV relativeFrom="paragraph">
            <wp:posOffset>-19050</wp:posOffset>
          </wp:positionV>
          <wp:extent cx="7053580" cy="223520"/>
          <wp:effectExtent l="19050" t="0" r="0" b="0"/>
          <wp:wrapNone/>
          <wp:docPr id="1" name="Рисунок 1" descr="бланк составные элементы-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бланк составные элементы-07"/>
                  <pic:cNvPicPr>
                    <a:picLocks noChangeArrowheads="1"/>
                  </pic:cNvPicPr>
                </pic:nvPicPr>
                <pic:blipFill>
                  <a:blip r:embed="rId1"/>
                  <a:srcRect l="3999" t="58755" r="2678" b="-14"/>
                  <a:stretch>
                    <a:fillRect/>
                  </a:stretch>
                </pic:blipFill>
                <pic:spPr bwMode="auto">
                  <a:xfrm>
                    <a:off x="0" y="0"/>
                    <a:ext cx="7053580" cy="2235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9A" w:rsidRDefault="00A82C9A" w:rsidP="007759A9">
      <w:pPr>
        <w:spacing w:after="0" w:line="240" w:lineRule="auto"/>
      </w:pPr>
      <w:r>
        <w:separator/>
      </w:r>
    </w:p>
  </w:footnote>
  <w:footnote w:type="continuationSeparator" w:id="0">
    <w:p w:rsidR="00A82C9A" w:rsidRDefault="00A82C9A" w:rsidP="00775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C0" w:rsidRPr="00D44D84" w:rsidRDefault="00A82C9A" w:rsidP="00EA0E4F">
    <w:pPr>
      <w:spacing w:after="0" w:line="240" w:lineRule="auto"/>
      <w:rPr>
        <w:sz w:val="28"/>
        <w:szCs w:val="28"/>
      </w:rPr>
    </w:pPr>
    <w:r>
      <w:rPr>
        <w:noProof/>
      </w:rPr>
      <w:pict>
        <v:shapetype id="_x0000_t202" coordsize="21600,21600" o:spt="202" path="m,l,21600r21600,l21600,xe">
          <v:stroke joinstyle="miter"/>
          <v:path gradientshapeok="t" o:connecttype="rect"/>
        </v:shapetype>
        <v:shape id="Text Box 17" o:spid="_x0000_s2057" type="#_x0000_t202" style="position:absolute;margin-left:-29.35pt;margin-top:-21.45pt;width:175.2pt;height:26.25pt;z-index:251658240;visibility:visible;mso-height-percent:0;mso-wrap-distance-left:9pt;mso-wrap-distance-top:0;mso-wrap-distance-right:9pt;mso-wrap-distance-bottom:0;mso-position-horizontal-relative:text;mso-position-vertical-relative:text;mso-height-percent:0;mso-width-relative:page;mso-height-relative:page;v-text-anchor:top" stroked="f">
          <v:fill opacity="56283f"/>
          <v:path arrowok="t"/>
          <v:textbox style="mso-next-textbox:#Text Box 17" inset=".5mm,.5mm,.5mm,.5mm">
            <w:txbxContent>
              <w:p w:rsidR="004730C0" w:rsidRPr="00B8123D" w:rsidRDefault="00C00F9E" w:rsidP="00C00F9E">
                <w:pPr>
                  <w:widowControl w:val="0"/>
                  <w:autoSpaceDE w:val="0"/>
                  <w:autoSpaceDN w:val="0"/>
                  <w:spacing w:after="0" w:line="240" w:lineRule="auto"/>
                  <w:rPr>
                    <w:rFonts w:ascii="Times New Roman" w:eastAsia="Times New Roman" w:hAnsi="Times New Roman"/>
                    <w:color w:val="595959"/>
                    <w:sz w:val="19"/>
                    <w:szCs w:val="19"/>
                  </w:rPr>
                </w:pPr>
                <w:r w:rsidRPr="00B8123D">
                  <w:rPr>
                    <w:rFonts w:ascii="Times New Roman" w:hAnsi="Times New Roman"/>
                    <w:color w:val="595959"/>
                    <w:sz w:val="19"/>
                    <w:szCs w:val="19"/>
                  </w:rPr>
                  <w:t>+</w:t>
                </w:r>
                <w:r w:rsidR="00B8123D" w:rsidRPr="00B8123D">
                  <w:rPr>
                    <w:rFonts w:ascii="Times New Roman" w:eastAsia="Times New Roman" w:hAnsi="Times New Roman"/>
                    <w:color w:val="595959"/>
                    <w:sz w:val="19"/>
                    <w:szCs w:val="19"/>
                  </w:rPr>
                  <w:t>7</w:t>
                </w:r>
                <w:r w:rsidR="004730C0" w:rsidRPr="00B8123D">
                  <w:rPr>
                    <w:rFonts w:ascii="Times New Roman" w:eastAsia="Times New Roman" w:hAnsi="Times New Roman"/>
                    <w:color w:val="595959"/>
                    <w:sz w:val="19"/>
                    <w:szCs w:val="19"/>
                  </w:rPr>
                  <w:t>(495)</w:t>
                </w:r>
                <w:r w:rsidRPr="00B8123D">
                  <w:rPr>
                    <w:rFonts w:ascii="Times New Roman" w:eastAsia="Times New Roman" w:hAnsi="Times New Roman"/>
                    <w:color w:val="595959"/>
                    <w:sz w:val="19"/>
                    <w:szCs w:val="19"/>
                  </w:rPr>
                  <w:t xml:space="preserve"> </w:t>
                </w:r>
                <w:r w:rsidR="004730C0" w:rsidRPr="00B8123D">
                  <w:rPr>
                    <w:rFonts w:ascii="Times New Roman" w:eastAsia="Times New Roman" w:hAnsi="Times New Roman"/>
                    <w:color w:val="595959"/>
                    <w:sz w:val="19"/>
                    <w:szCs w:val="19"/>
                  </w:rPr>
                  <w:t>612</w:t>
                </w:r>
                <w:r w:rsidR="00B8123D" w:rsidRPr="00B8123D">
                  <w:rPr>
                    <w:rFonts w:ascii="Times New Roman" w:eastAsia="Times New Roman" w:hAnsi="Times New Roman"/>
                    <w:color w:val="595959"/>
                    <w:sz w:val="19"/>
                    <w:szCs w:val="19"/>
                  </w:rPr>
                  <w:t xml:space="preserve"> </w:t>
                </w:r>
                <w:r w:rsidR="004730C0" w:rsidRPr="00B8123D">
                  <w:rPr>
                    <w:rFonts w:ascii="Times New Roman" w:eastAsia="Times New Roman" w:hAnsi="Times New Roman"/>
                    <w:color w:val="595959"/>
                    <w:sz w:val="19"/>
                    <w:szCs w:val="19"/>
                  </w:rPr>
                  <w:t>20</w:t>
                </w:r>
                <w:r w:rsidR="00B8123D" w:rsidRPr="00B8123D">
                  <w:rPr>
                    <w:rFonts w:ascii="Times New Roman" w:eastAsia="Times New Roman" w:hAnsi="Times New Roman"/>
                    <w:color w:val="595959"/>
                    <w:sz w:val="19"/>
                    <w:szCs w:val="19"/>
                  </w:rPr>
                  <w:t xml:space="preserve"> </w:t>
                </w:r>
                <w:r w:rsidR="004730C0" w:rsidRPr="00B8123D">
                  <w:rPr>
                    <w:rFonts w:ascii="Times New Roman" w:eastAsia="Times New Roman" w:hAnsi="Times New Roman"/>
                    <w:color w:val="595959"/>
                    <w:sz w:val="19"/>
                    <w:szCs w:val="19"/>
                  </w:rPr>
                  <w:t xml:space="preserve">53, </w:t>
                </w:r>
                <w:r w:rsidR="00B8123D" w:rsidRPr="00B8123D">
                  <w:rPr>
                    <w:rFonts w:ascii="Times New Roman" w:hAnsi="Times New Roman"/>
                    <w:color w:val="595959"/>
                    <w:sz w:val="19"/>
                    <w:szCs w:val="19"/>
                  </w:rPr>
                  <w:t>+</w:t>
                </w:r>
                <w:r w:rsidRPr="00B8123D">
                  <w:rPr>
                    <w:rFonts w:ascii="Times New Roman" w:eastAsia="Times New Roman" w:hAnsi="Times New Roman"/>
                    <w:color w:val="595959"/>
                    <w:sz w:val="19"/>
                    <w:szCs w:val="19"/>
                  </w:rPr>
                  <w:t>7</w:t>
                </w:r>
                <w:r w:rsidR="004730C0" w:rsidRPr="00B8123D">
                  <w:rPr>
                    <w:rFonts w:ascii="Times New Roman" w:eastAsia="Times New Roman" w:hAnsi="Times New Roman"/>
                    <w:color w:val="595959"/>
                    <w:sz w:val="19"/>
                    <w:szCs w:val="19"/>
                  </w:rPr>
                  <w:t>(495)</w:t>
                </w:r>
                <w:r w:rsidRPr="00B8123D">
                  <w:rPr>
                    <w:rFonts w:ascii="Times New Roman" w:eastAsia="Times New Roman" w:hAnsi="Times New Roman"/>
                    <w:color w:val="595959"/>
                    <w:sz w:val="19"/>
                    <w:szCs w:val="19"/>
                  </w:rPr>
                  <w:t xml:space="preserve"> </w:t>
                </w:r>
                <w:r w:rsidR="004730C0" w:rsidRPr="00B8123D">
                  <w:rPr>
                    <w:rFonts w:ascii="Times New Roman" w:eastAsia="Times New Roman" w:hAnsi="Times New Roman"/>
                    <w:color w:val="595959"/>
                    <w:sz w:val="19"/>
                    <w:szCs w:val="19"/>
                  </w:rPr>
                  <w:t>748</w:t>
                </w:r>
                <w:r w:rsidR="00B8123D" w:rsidRPr="00B8123D">
                  <w:rPr>
                    <w:rFonts w:ascii="Times New Roman" w:eastAsia="Times New Roman" w:hAnsi="Times New Roman"/>
                    <w:color w:val="595959"/>
                    <w:sz w:val="19"/>
                    <w:szCs w:val="19"/>
                  </w:rPr>
                  <w:t xml:space="preserve"> </w:t>
                </w:r>
                <w:r w:rsidR="004730C0" w:rsidRPr="00B8123D">
                  <w:rPr>
                    <w:rFonts w:ascii="Times New Roman" w:eastAsia="Times New Roman" w:hAnsi="Times New Roman"/>
                    <w:color w:val="595959"/>
                    <w:sz w:val="19"/>
                    <w:szCs w:val="19"/>
                  </w:rPr>
                  <w:t>05</w:t>
                </w:r>
                <w:r w:rsidR="00B8123D" w:rsidRPr="00B8123D">
                  <w:rPr>
                    <w:rFonts w:ascii="Times New Roman" w:eastAsia="Times New Roman" w:hAnsi="Times New Roman"/>
                    <w:color w:val="595959"/>
                    <w:sz w:val="19"/>
                    <w:szCs w:val="19"/>
                  </w:rPr>
                  <w:t xml:space="preserve"> </w:t>
                </w:r>
                <w:r w:rsidR="004730C0" w:rsidRPr="00B8123D">
                  <w:rPr>
                    <w:rFonts w:ascii="Times New Roman" w:eastAsia="Times New Roman" w:hAnsi="Times New Roman"/>
                    <w:color w:val="595959"/>
                    <w:sz w:val="19"/>
                    <w:szCs w:val="19"/>
                  </w:rPr>
                  <w:t>10</w:t>
                </w:r>
              </w:p>
              <w:p w:rsidR="004730C0" w:rsidRPr="00B8123D" w:rsidRDefault="00A82C9A" w:rsidP="00C00F9E">
                <w:pPr>
                  <w:widowControl w:val="0"/>
                  <w:autoSpaceDE w:val="0"/>
                  <w:autoSpaceDN w:val="0"/>
                  <w:spacing w:after="0" w:line="240" w:lineRule="auto"/>
                  <w:rPr>
                    <w:rFonts w:ascii="Times New Roman" w:eastAsia="Times New Roman" w:hAnsi="Times New Roman"/>
                    <w:color w:val="595959"/>
                    <w:spacing w:val="4"/>
                    <w:sz w:val="19"/>
                    <w:szCs w:val="19"/>
                  </w:rPr>
                </w:pPr>
                <w:hyperlink r:id="rId1">
                  <w:r w:rsidR="004730C0" w:rsidRPr="00B8123D">
                    <w:rPr>
                      <w:rFonts w:ascii="Times New Roman" w:eastAsia="Times New Roman" w:hAnsi="Times New Roman"/>
                      <w:color w:val="595959"/>
                      <w:spacing w:val="4"/>
                      <w:sz w:val="19"/>
                      <w:szCs w:val="19"/>
                    </w:rPr>
                    <w:t>www.patients.ru</w:t>
                  </w:r>
                </w:hyperlink>
                <w:r w:rsidR="004730C0" w:rsidRPr="00B8123D">
                  <w:rPr>
                    <w:rFonts w:ascii="Times New Roman" w:eastAsia="Times New Roman" w:hAnsi="Times New Roman"/>
                    <w:color w:val="595959"/>
                    <w:spacing w:val="4"/>
                    <w:sz w:val="19"/>
                    <w:szCs w:val="19"/>
                  </w:rPr>
                  <w:t xml:space="preserve">,  </w:t>
                </w:r>
                <w:r w:rsidR="00B8123D">
                  <w:rPr>
                    <w:rFonts w:ascii="Times New Roman" w:eastAsia="Times New Roman" w:hAnsi="Times New Roman"/>
                    <w:color w:val="595959"/>
                    <w:spacing w:val="4"/>
                    <w:sz w:val="19"/>
                    <w:szCs w:val="19"/>
                  </w:rPr>
                  <w:t xml:space="preserve"> </w:t>
                </w:r>
                <w:r w:rsidR="004730C0" w:rsidRPr="00B8123D">
                  <w:rPr>
                    <w:rFonts w:ascii="Times New Roman" w:eastAsia="Times New Roman" w:hAnsi="Times New Roman"/>
                    <w:color w:val="595959"/>
                    <w:spacing w:val="4"/>
                    <w:sz w:val="19"/>
                    <w:szCs w:val="19"/>
                  </w:rPr>
                  <w:t xml:space="preserve"> </w:t>
                </w:r>
                <w:r w:rsidR="00B8123D" w:rsidRPr="00B8123D">
                  <w:rPr>
                    <w:rFonts w:ascii="Times New Roman" w:eastAsia="Times New Roman" w:hAnsi="Times New Roman"/>
                    <w:color w:val="595959"/>
                    <w:spacing w:val="4"/>
                    <w:sz w:val="19"/>
                    <w:szCs w:val="19"/>
                  </w:rPr>
                  <w:t xml:space="preserve"> </w:t>
                </w:r>
                <w:hyperlink r:id="rId2">
                  <w:r w:rsidR="004730C0" w:rsidRPr="00B8123D">
                    <w:rPr>
                      <w:rFonts w:ascii="Times New Roman" w:eastAsia="Times New Roman" w:hAnsi="Times New Roman"/>
                      <w:color w:val="595959"/>
                      <w:spacing w:val="4"/>
                      <w:sz w:val="19"/>
                      <w:szCs w:val="19"/>
                    </w:rPr>
                    <w:t>pat@patients.ru</w:t>
                  </w:r>
                </w:hyperlink>
              </w:p>
            </w:txbxContent>
          </v:textbox>
        </v:shape>
      </w:pict>
    </w:r>
    <w:r w:rsidR="00545934">
      <w:rPr>
        <w:noProof/>
        <w:sz w:val="28"/>
        <w:szCs w:val="28"/>
        <w:lang w:eastAsia="ru-RU"/>
      </w:rPr>
      <w:drawing>
        <wp:anchor distT="0" distB="0" distL="114300" distR="114300" simplePos="0" relativeHeight="251659264" behindDoc="0" locked="0" layoutInCell="1" allowOverlap="1">
          <wp:simplePos x="0" y="0"/>
          <wp:positionH relativeFrom="column">
            <wp:posOffset>4541520</wp:posOffset>
          </wp:positionH>
          <wp:positionV relativeFrom="paragraph">
            <wp:posOffset>-516890</wp:posOffset>
          </wp:positionV>
          <wp:extent cx="1188720" cy="1203325"/>
          <wp:effectExtent l="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
                  <a:srcRect/>
                  <a:stretch>
                    <a:fillRect/>
                  </a:stretch>
                </pic:blipFill>
                <pic:spPr bwMode="auto">
                  <a:xfrm>
                    <a:off x="0" y="0"/>
                    <a:ext cx="1188720" cy="1203325"/>
                  </a:xfrm>
                  <a:prstGeom prst="rect">
                    <a:avLst/>
                  </a:prstGeom>
                  <a:noFill/>
                </pic:spPr>
              </pic:pic>
            </a:graphicData>
          </a:graphic>
        </wp:anchor>
      </w:drawing>
    </w:r>
    <w:r>
      <w:rPr>
        <w:noProof/>
      </w:rPr>
      <w:pict>
        <v:shape id="Text Box 16" o:spid="_x0000_s2055" type="#_x0000_t202" style="position:absolute;margin-left:162.15pt;margin-top:-21.9pt;width:136.1pt;height:39.3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119 0 -119 21185 21600 21185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" stroked="f">
          <v:path arrowok="t"/>
          <v:textbox style="mso-next-textbox:#Text Box 16" inset=".5mm,.5mm,.5mm,.5mm">
            <w:txbxContent>
              <w:p w:rsidR="004730C0" w:rsidRDefault="004730C0" w:rsidP="00EA0E4F">
                <w:pPr>
                  <w:widowControl w:val="0"/>
                  <w:autoSpaceDE w:val="0"/>
                  <w:autoSpaceDN w:val="0"/>
                  <w:spacing w:after="0" w:line="240" w:lineRule="auto"/>
                  <w:jc w:val="both"/>
                  <w:rPr>
                    <w:rFonts w:ascii="Times New Roman" w:eastAsia="Times New Roman" w:hAnsi="Times New Roman"/>
                    <w:color w:val="595959"/>
                    <w:sz w:val="19"/>
                    <w:szCs w:val="19"/>
                  </w:rPr>
                </w:pPr>
                <w:r w:rsidRPr="00925CDD">
                  <w:rPr>
                    <w:rFonts w:ascii="Times New Roman" w:eastAsia="Times New Roman" w:hAnsi="Times New Roman"/>
                    <w:color w:val="595959"/>
                    <w:sz w:val="19"/>
                    <w:szCs w:val="19"/>
                  </w:rPr>
                  <w:t>Российская Федерация, 125167,</w:t>
                </w:r>
                <w:r w:rsidRPr="00925CDD">
                  <w:rPr>
                    <w:rFonts w:ascii="Times New Roman" w:eastAsia="Times New Roman" w:hAnsi="Times New Roman"/>
                    <w:color w:val="595959"/>
                    <w:sz w:val="19"/>
                    <w:szCs w:val="19"/>
                  </w:rPr>
                  <w:br/>
                  <w:t>г. Москва, Нарышкинская аллея,</w:t>
                </w:r>
              </w:p>
              <w:p w:rsidR="004730C0" w:rsidRPr="00925CDD" w:rsidRDefault="004730C0" w:rsidP="00EA0E4F">
                <w:pPr>
                  <w:widowControl w:val="0"/>
                  <w:autoSpaceDE w:val="0"/>
                  <w:autoSpaceDN w:val="0"/>
                  <w:spacing w:after="0" w:line="240" w:lineRule="auto"/>
                  <w:jc w:val="right"/>
                  <w:rPr>
                    <w:rFonts w:ascii="Times New Roman" w:eastAsia="Times New Roman" w:hAnsi="Times New Roman"/>
                    <w:color w:val="595959"/>
                    <w:sz w:val="19"/>
                    <w:szCs w:val="19"/>
                  </w:rPr>
                </w:pPr>
                <w:r w:rsidRPr="00925CDD">
                  <w:rPr>
                    <w:rFonts w:ascii="Times New Roman" w:eastAsia="Times New Roman" w:hAnsi="Times New Roman"/>
                    <w:color w:val="595959"/>
                    <w:sz w:val="19"/>
                    <w:szCs w:val="19"/>
                  </w:rPr>
                  <w:t>дом 5, строение 2</w:t>
                </w:r>
              </w:p>
            </w:txbxContent>
          </v:textbox>
          <w10:wrap type="tight"/>
        </v:shape>
      </w:pict>
    </w:r>
    <w:r>
      <w:rPr>
        <w:noProof/>
      </w:rPr>
      <w:pict>
        <v:shape id="Text Box 19" o:spid="_x0000_s2054" type="#_x0000_t202" style="position:absolute;margin-left:-36.1pt;margin-top:-28.8pt;width:79.05pt;height:33.6pt;z-index:25165721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stroked="f">
          <v:fill opacity="56283f"/>
          <v:path arrowok="t"/>
          <v:textbox style="mso-next-textbox:#Text Box 19" inset=".5mm,.5mm,.5mm,.5mm">
            <w:txbxContent>
              <w:p w:rsidR="004730C0" w:rsidRPr="00111C31" w:rsidRDefault="004730C0" w:rsidP="00EA0E4F">
                <w:pPr>
                  <w:widowControl w:val="0"/>
                  <w:autoSpaceDE w:val="0"/>
                  <w:autoSpaceDN w:val="0"/>
                  <w:spacing w:after="0" w:line="240" w:lineRule="auto"/>
                  <w:jc w:val="right"/>
                  <w:rPr>
                    <w:rFonts w:ascii="Times New Roman" w:eastAsia="Times New Roman" w:hAnsi="Times New Roman"/>
                    <w:color w:val="939598"/>
                    <w:sz w:val="19"/>
                    <w:szCs w:val="19"/>
                  </w:rPr>
                </w:pPr>
              </w:p>
              <w:p w:rsidR="004730C0" w:rsidRPr="00E03843" w:rsidRDefault="004730C0" w:rsidP="00EA0E4F">
                <w:pPr>
                  <w:widowControl w:val="0"/>
                  <w:autoSpaceDE w:val="0"/>
                  <w:autoSpaceDN w:val="0"/>
                  <w:spacing w:after="0" w:line="240" w:lineRule="auto"/>
                  <w:jc w:val="right"/>
                  <w:rPr>
                    <w:rFonts w:ascii="Times New Roman" w:eastAsia="Times New Roman" w:hAnsi="Times New Roman"/>
                    <w:b/>
                    <w:color w:val="939598"/>
                    <w:sz w:val="19"/>
                    <w:szCs w:val="19"/>
                  </w:rPr>
                </w:pPr>
              </w:p>
            </w:txbxContent>
          </v:textbox>
        </v:shape>
      </w:pict>
    </w:r>
    <w:r w:rsidR="00545934">
      <w:rPr>
        <w:noProof/>
        <w:sz w:val="28"/>
        <w:szCs w:val="28"/>
        <w:lang w:eastAsia="ru-RU"/>
      </w:rPr>
      <w:drawing>
        <wp:anchor distT="0" distB="0" distL="114300" distR="114300" simplePos="0" relativeHeight="251661312" behindDoc="1" locked="0" layoutInCell="1" allowOverlap="1">
          <wp:simplePos x="0" y="0"/>
          <wp:positionH relativeFrom="column">
            <wp:posOffset>-865505</wp:posOffset>
          </wp:positionH>
          <wp:positionV relativeFrom="paragraph">
            <wp:posOffset>-478155</wp:posOffset>
          </wp:positionV>
          <wp:extent cx="7120890" cy="770890"/>
          <wp:effectExtent l="19050" t="0" r="3810" b="0"/>
          <wp:wrapNone/>
          <wp:docPr id="5" name="Рисунок 2" descr="бланк составные элементы-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бланк составные элементы-06"/>
                  <pic:cNvPicPr>
                    <a:picLocks noChangeArrowheads="1"/>
                  </pic:cNvPicPr>
                </pic:nvPicPr>
                <pic:blipFill>
                  <a:blip r:embed="rId4"/>
                  <a:srcRect l="2673" r="3773" b="-43"/>
                  <a:stretch>
                    <a:fillRect/>
                  </a:stretch>
                </pic:blipFill>
                <pic:spPr bwMode="auto">
                  <a:xfrm>
                    <a:off x="0" y="0"/>
                    <a:ext cx="7120890" cy="770890"/>
                  </a:xfrm>
                  <a:prstGeom prst="rect">
                    <a:avLst/>
                  </a:prstGeom>
                  <a:noFill/>
                </pic:spPr>
              </pic:pic>
            </a:graphicData>
          </a:graphic>
        </wp:anchor>
      </w:drawing>
    </w:r>
  </w:p>
  <w:p w:rsidR="004730C0" w:rsidRPr="000015F9" w:rsidRDefault="00A82C9A" w:rsidP="00EA0E4F">
    <w:pPr>
      <w:spacing w:after="0" w:line="240" w:lineRule="auto"/>
    </w:pPr>
    <w:r>
      <w:rPr>
        <w:noProof/>
      </w:rPr>
      <w:pict>
        <v:group id="Group 10" o:spid="_x0000_s2050" alt="" style="position:absolute;margin-left:-72.9pt;margin-top:4.7pt;width:569.3pt;height:45.85pt;z-index:251655168" coordorigin="5,1521" coordsize="11901,917">
          <v:shape id="AutoShape 9" o:spid="_x0000_s2051" alt="" style="position:absolute;left:5;top:1702;width:11901;height:736;visibility:visible;mso-wrap-style:square;v-text-anchor:top" coordsize="11901,736" o:spt="100" adj="0,,0" path="m3333,40r-1165,l2499,48r83,4l2664,54r244,12l2989,72r80,4l3150,82r81,4l3631,116r79,8l3869,136r157,16l4105,158r778,80l4960,248r154,16l5191,274r154,16l5587,320r81,8l5990,368r161,18l7558,558r74,10l7853,594r75,10l8003,612r76,10l8155,630r77,10l8468,664r80,6l8630,678r313,24l9100,710r78,6l9257,720r80,2l9416,726r402,10l10229,736r82,-2l10394,734r165,-4l10641,726r82,-2l10966,712r81,-6l11128,702r474,-36l11834,642r67,-6l11901,612r-2254,l9401,606r-82,-4l9237,600,8993,588,8831,576r-80,-4l8671,566r-79,-8l8513,552,8037,504,7797,476r-81,-8l6923,380r-12,-2l5850,264r-79,-10l4824,158r-80,-6l4584,136r-80,-6l4343,114r-81,-6l4181,100,3444,46r-83,-4l3333,40xm11901,474r-358,46l11225,552r-392,30l10447,602r-391,10l11901,612r,-138xm2288,l1955,,1624,8,1379,20,1061,44,906,60,830,70r-75,8l680,90r-91,12l500,118r-86,14l331,148r-81,18l171,182,95,200,21,220,,224r,24l88,226r72,-16l235,192r77,-14l390,162r81,-14l554,136r84,-14l725,112,877,92r76,-8l1031,78r78,-8l1188,64,1591,44r164,-4l3333,40r-55,-4l2786,12,2288,xe" fillcolor="#ed1c24" stroked="f">
            <v:stroke joinstyle="round"/>
            <v:formulas/>
            <v:path arrowok="t" o:connecttype="custom" o:connectlocs="1586865,787400;1846580,798830;2000250,808990;2355850,835660;2606675,857250;3247390,924560;3547745,960120;3905885,1002030;4986655,1134110;5130165,1151890;5377180,1178560;5678805,1202690;5878195,1214120;6234430,1224280;6600190,1223010;6809105,1216660;7066280,1202690;7557135,1160780;5969635,1141730;5710555,1130300;5506085,1116330;5103495,1076960;4396105,998220;3664585,918210;2910840,843280;2706370,825500;2134235,783590;7329805,1087120;6633845,1139190;7557135,1057910;1031240,762000;575310,795020;431800,814070;262890,840740;108585,872490;0,899160;101600,890270;247650,859790;405130,834390;605155,810260;754380,797560;2116455,782320;1452880,756920" o:connectangles="0,0,0,0,0,0,0,0,0,0,0,0,0,0,0,0,0,0,0,0,0,0,0,0,0,0,0,0,0,0,0,0,0,0,0,0,0,0,0,0,0,0,0"/>
          </v:shape>
          <v:shape id="AutoShape 8" o:spid="_x0000_s2052" alt="" style="position:absolute;left:5;top:1521;width:6184;height:406;visibility:visible;mso-wrap-style:square;v-text-anchor:top" coordsize="6184,406" o:spt="100" adj="0,,0" path="m4062,128r-1864,l2605,131r409,11l3503,163r565,34l4708,247r707,70l6183,406,5512,304,5051,240,4498,173,4062,128xm1642,l1317,3,994,10,682,23,448,37,217,54,,75,,281r5,-1l47,273r83,-14l215,247r87,-13l465,214,614,198,845,177r238,-17l1319,147r316,-11l1955,129r2107,-1l3511,79,2999,43,2521,19,2125,6,1723,1,1642,xe" fillcolor="#1b75bc" stroked="f">
            <v:stroke joinstyle="round"/>
            <v:formulas/>
            <v:path arrowok="t" o:connecttype="custom" o:connectlocs="2579370,722630;1395730,722630;1654175,724535;1913890,731520;2224405,744855;2583180,766445;2989580,798195;3438525,842645;3926205,899160;3500120,834390;3207385,793750;2856230,751205;2579370,722630;1042670,641350;836295,643255;631190,647700;433070,655955;284480,664845;137795,675640;0,688975;0,819785;3175,819150;29845,814705;82550,805815;136525,798195;191770,789940;295275,777240;389890,767080;536575,753745;687705,742950;837565,734695;1038225,727710;1241425,723265;2579370,722630;2229485,691515;1904365,668655;1600835,653415;1349375,645160;1094105,641985;1042670,641350" o:connectangles="0,0,0,0,0,0,0,0,0,0,0,0,0,0,0,0,0,0,0,0,0,0,0,0,0,0,0,0,0,0,0,0,0,0,0,0,0,0,0,0"/>
          </v:shape>
        </v:group>
      </w:pict>
    </w:r>
  </w:p>
  <w:p w:rsidR="004730C0" w:rsidRPr="00D44D84" w:rsidRDefault="004730C0" w:rsidP="00EA0E4F">
    <w:pPr>
      <w:spacing w:after="0" w:line="240" w:lineRule="auto"/>
      <w:rPr>
        <w:sz w:val="26"/>
        <w:szCs w:val="26"/>
      </w:rPr>
    </w:pPr>
  </w:p>
  <w:p w:rsidR="004730C0" w:rsidRDefault="004730C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70404"/>
    <w:multiLevelType w:val="hybridMultilevel"/>
    <w:tmpl w:val="3C8EA0A2"/>
    <w:lvl w:ilvl="0" w:tplc="0419000F">
      <w:start w:val="1"/>
      <w:numFmt w:val="decimal"/>
      <w:lvlText w:val="%1."/>
      <w:lvlJc w:val="left"/>
      <w:pPr>
        <w:tabs>
          <w:tab w:val="num" w:pos="720"/>
        </w:tabs>
        <w:ind w:left="720" w:hanging="360"/>
      </w:pPr>
    </w:lvl>
    <w:lvl w:ilvl="1" w:tplc="F46EBDDA">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15F9"/>
    <w:rsid w:val="000015F9"/>
    <w:rsid w:val="000171F1"/>
    <w:rsid w:val="00021C9B"/>
    <w:rsid w:val="00033165"/>
    <w:rsid w:val="0006292F"/>
    <w:rsid w:val="000B1073"/>
    <w:rsid w:val="000B311C"/>
    <w:rsid w:val="000B496C"/>
    <w:rsid w:val="000D296B"/>
    <w:rsid w:val="001144F1"/>
    <w:rsid w:val="0013551E"/>
    <w:rsid w:val="00137168"/>
    <w:rsid w:val="00142EA3"/>
    <w:rsid w:val="00146CE2"/>
    <w:rsid w:val="00165F82"/>
    <w:rsid w:val="00181919"/>
    <w:rsid w:val="001A176D"/>
    <w:rsid w:val="001B5500"/>
    <w:rsid w:val="001C0EAA"/>
    <w:rsid w:val="0022180E"/>
    <w:rsid w:val="00247BB8"/>
    <w:rsid w:val="0026606F"/>
    <w:rsid w:val="0026736D"/>
    <w:rsid w:val="002741EF"/>
    <w:rsid w:val="00275164"/>
    <w:rsid w:val="00306395"/>
    <w:rsid w:val="0036054C"/>
    <w:rsid w:val="00387778"/>
    <w:rsid w:val="003916AE"/>
    <w:rsid w:val="003948C0"/>
    <w:rsid w:val="003E3D72"/>
    <w:rsid w:val="003F78F4"/>
    <w:rsid w:val="004010DF"/>
    <w:rsid w:val="00430E53"/>
    <w:rsid w:val="00454658"/>
    <w:rsid w:val="004637C3"/>
    <w:rsid w:val="004730C0"/>
    <w:rsid w:val="00484E04"/>
    <w:rsid w:val="00490FF0"/>
    <w:rsid w:val="004B3AF2"/>
    <w:rsid w:val="004B7D12"/>
    <w:rsid w:val="004F525C"/>
    <w:rsid w:val="00506587"/>
    <w:rsid w:val="00517437"/>
    <w:rsid w:val="005409FF"/>
    <w:rsid w:val="005435CE"/>
    <w:rsid w:val="00545934"/>
    <w:rsid w:val="00545C73"/>
    <w:rsid w:val="005A24E1"/>
    <w:rsid w:val="005C3539"/>
    <w:rsid w:val="006138CF"/>
    <w:rsid w:val="00650E12"/>
    <w:rsid w:val="006563EC"/>
    <w:rsid w:val="00666CBF"/>
    <w:rsid w:val="00677985"/>
    <w:rsid w:val="006B2F1C"/>
    <w:rsid w:val="006E4A1C"/>
    <w:rsid w:val="007759A9"/>
    <w:rsid w:val="007A1897"/>
    <w:rsid w:val="007B3A5E"/>
    <w:rsid w:val="007B4A97"/>
    <w:rsid w:val="007B535D"/>
    <w:rsid w:val="007C458D"/>
    <w:rsid w:val="007E0532"/>
    <w:rsid w:val="007E1321"/>
    <w:rsid w:val="008610FC"/>
    <w:rsid w:val="008B00FF"/>
    <w:rsid w:val="008B0D3F"/>
    <w:rsid w:val="008F57C1"/>
    <w:rsid w:val="008F799B"/>
    <w:rsid w:val="00900D14"/>
    <w:rsid w:val="00901217"/>
    <w:rsid w:val="00924948"/>
    <w:rsid w:val="00925CDD"/>
    <w:rsid w:val="00926BB4"/>
    <w:rsid w:val="00955B96"/>
    <w:rsid w:val="009922E7"/>
    <w:rsid w:val="009925A6"/>
    <w:rsid w:val="009A00F1"/>
    <w:rsid w:val="00A55E93"/>
    <w:rsid w:val="00A71DF4"/>
    <w:rsid w:val="00A7335B"/>
    <w:rsid w:val="00A82C9A"/>
    <w:rsid w:val="00A97510"/>
    <w:rsid w:val="00AA4195"/>
    <w:rsid w:val="00AA7BD8"/>
    <w:rsid w:val="00B01068"/>
    <w:rsid w:val="00B10293"/>
    <w:rsid w:val="00B10CC0"/>
    <w:rsid w:val="00B32F3B"/>
    <w:rsid w:val="00B60880"/>
    <w:rsid w:val="00B74ECE"/>
    <w:rsid w:val="00B8123D"/>
    <w:rsid w:val="00BA44B7"/>
    <w:rsid w:val="00BF2F56"/>
    <w:rsid w:val="00C00F9E"/>
    <w:rsid w:val="00C308F0"/>
    <w:rsid w:val="00C33B87"/>
    <w:rsid w:val="00C60D85"/>
    <w:rsid w:val="00C6720B"/>
    <w:rsid w:val="00C73971"/>
    <w:rsid w:val="00CA3544"/>
    <w:rsid w:val="00CC69A6"/>
    <w:rsid w:val="00CF611B"/>
    <w:rsid w:val="00D00350"/>
    <w:rsid w:val="00D44D84"/>
    <w:rsid w:val="00D72C92"/>
    <w:rsid w:val="00D848A5"/>
    <w:rsid w:val="00DF3FE7"/>
    <w:rsid w:val="00DF6D33"/>
    <w:rsid w:val="00E0028C"/>
    <w:rsid w:val="00E03843"/>
    <w:rsid w:val="00E44987"/>
    <w:rsid w:val="00E707E6"/>
    <w:rsid w:val="00EA0E4F"/>
    <w:rsid w:val="00EC2BD0"/>
    <w:rsid w:val="00EF0812"/>
    <w:rsid w:val="00F01449"/>
    <w:rsid w:val="00FB4B0A"/>
    <w:rsid w:val="00FD7498"/>
    <w:rsid w:val="00FE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E2AE2AC"/>
  <w15:docId w15:val="{85A5D954-73B5-4780-9700-75D2B166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98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9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59A9"/>
  </w:style>
  <w:style w:type="paragraph" w:styleId="a5">
    <w:name w:val="footer"/>
    <w:basedOn w:val="a"/>
    <w:link w:val="a6"/>
    <w:uiPriority w:val="99"/>
    <w:unhideWhenUsed/>
    <w:rsid w:val="007759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59A9"/>
  </w:style>
  <w:style w:type="paragraph" w:styleId="a7">
    <w:name w:val="Balloon Text"/>
    <w:basedOn w:val="a"/>
    <w:link w:val="a8"/>
    <w:uiPriority w:val="99"/>
    <w:semiHidden/>
    <w:unhideWhenUsed/>
    <w:rsid w:val="007759A9"/>
    <w:pPr>
      <w:spacing w:after="0" w:line="240" w:lineRule="auto"/>
    </w:pPr>
    <w:rPr>
      <w:rFonts w:ascii="Tahoma" w:hAnsi="Tahoma"/>
      <w:sz w:val="16"/>
      <w:szCs w:val="16"/>
    </w:rPr>
  </w:style>
  <w:style w:type="character" w:customStyle="1" w:styleId="a8">
    <w:name w:val="Текст выноски Знак"/>
    <w:link w:val="a7"/>
    <w:uiPriority w:val="99"/>
    <w:semiHidden/>
    <w:rsid w:val="007759A9"/>
    <w:rPr>
      <w:rFonts w:ascii="Tahoma" w:hAnsi="Tahoma" w:cs="Tahoma"/>
      <w:sz w:val="16"/>
      <w:szCs w:val="16"/>
    </w:rPr>
  </w:style>
  <w:style w:type="paragraph" w:styleId="a9">
    <w:name w:val="Normal (Web)"/>
    <w:basedOn w:val="a"/>
    <w:uiPriority w:val="99"/>
    <w:unhideWhenUsed/>
    <w:rsid w:val="00D003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484E04"/>
    <w:pPr>
      <w:widowControl w:val="0"/>
      <w:autoSpaceDE w:val="0"/>
      <w:autoSpaceDN w:val="0"/>
      <w:adjustRightInd w:val="0"/>
    </w:pPr>
    <w:rPr>
      <w:rFonts w:ascii="Arial" w:eastAsia="Times New Roman" w:hAnsi="Arial" w:cs="Arial"/>
      <w:lang w:eastAsia="ru-RU"/>
    </w:rPr>
  </w:style>
  <w:style w:type="table" w:styleId="aa">
    <w:name w:val="Table Grid"/>
    <w:basedOn w:val="a1"/>
    <w:uiPriority w:val="59"/>
    <w:rsid w:val="00B1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at@patients.ru" TargetMode="External"/><Relationship Id="rId1" Type="http://schemas.openxmlformats.org/officeDocument/2006/relationships/hyperlink" Target="http://www.patients.ru/" TargetMode="External"/><Relationship Id="rId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9902</CharactersWithSpaces>
  <SharedDoc>false</SharedDoc>
  <HLinks>
    <vt:vector size="12" baseType="variant">
      <vt:variant>
        <vt:i4>2621452</vt:i4>
      </vt:variant>
      <vt:variant>
        <vt:i4>3</vt:i4>
      </vt:variant>
      <vt:variant>
        <vt:i4>0</vt:i4>
      </vt:variant>
      <vt:variant>
        <vt:i4>5</vt:i4>
      </vt:variant>
      <vt:variant>
        <vt:lpwstr>mailto:pat@patients.ru</vt:lpwstr>
      </vt:variant>
      <vt:variant>
        <vt:lpwstr/>
      </vt:variant>
      <vt:variant>
        <vt:i4>6619191</vt:i4>
      </vt:variant>
      <vt:variant>
        <vt:i4>0</vt:i4>
      </vt:variant>
      <vt:variant>
        <vt:i4>0</vt:i4>
      </vt:variant>
      <vt:variant>
        <vt:i4>5</vt:i4>
      </vt:variant>
      <vt:variant>
        <vt:lpwstr>http://www.patients.ru/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Windows User</cp:lastModifiedBy>
  <cp:revision>4</cp:revision>
  <cp:lastPrinted>2018-09-17T07:07:00Z</cp:lastPrinted>
  <dcterms:created xsi:type="dcterms:W3CDTF">2018-12-29T09:20:00Z</dcterms:created>
  <dcterms:modified xsi:type="dcterms:W3CDTF">2019-05-17T22:38:00Z</dcterms:modified>
</cp:coreProperties>
</file>