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B758F7" w:rsidRPr="008D667E" w:rsidRDefault="00B758F7" w:rsidP="00B758F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B758F7" w:rsidRDefault="00B758F7" w:rsidP="00B758F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 w:rsidRPr="00B758F7">
        <w:rPr>
          <w:rFonts w:ascii="Times New Roman" w:hAnsi="Times New Roman" w:cs="Times New Roman"/>
          <w:b/>
          <w:sz w:val="24"/>
        </w:rPr>
        <w:t>По вопросам обращения медицинских изделий в РФ: проблемы и вызовы</w:t>
      </w:r>
      <w:r w:rsidRPr="008D667E">
        <w:rPr>
          <w:rFonts w:ascii="Times New Roman" w:hAnsi="Times New Roman" w:cs="Times New Roman"/>
          <w:b/>
          <w:sz w:val="24"/>
        </w:rPr>
        <w:t xml:space="preserve">» </w:t>
      </w:r>
    </w:p>
    <w:p w:rsidR="00B758F7" w:rsidRPr="00D270B8" w:rsidRDefault="00B758F7" w:rsidP="00B758F7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B758F7" w:rsidRPr="008D667E" w:rsidRDefault="00B758F7" w:rsidP="00B758F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 w:cs="Times New Roman"/>
          <w:sz w:val="24"/>
        </w:rPr>
        <w:t>ранения в Российской Федерации»</w:t>
      </w:r>
      <w:r w:rsidRPr="008D667E">
        <w:rPr>
          <w:rFonts w:ascii="Times New Roman" w:hAnsi="Times New Roman" w:cs="Times New Roman"/>
          <w:sz w:val="24"/>
        </w:rPr>
        <w:t xml:space="preserve"> состоялся круглый стол «</w:t>
      </w:r>
      <w:r w:rsidRPr="00B758F7">
        <w:rPr>
          <w:rFonts w:ascii="Times New Roman" w:hAnsi="Times New Roman" w:cs="Times New Roman"/>
          <w:sz w:val="24"/>
        </w:rPr>
        <w:t>По вопросам обращения медицинских изделий в РФ: проблемы и вызовы</w:t>
      </w:r>
      <w:r w:rsidRPr="008D667E">
        <w:rPr>
          <w:rFonts w:ascii="Times New Roman" w:hAnsi="Times New Roman" w:cs="Times New Roman"/>
          <w:sz w:val="24"/>
        </w:rPr>
        <w:t>».</w:t>
      </w:r>
    </w:p>
    <w:p w:rsidR="00B758F7" w:rsidRDefault="00B758F7" w:rsidP="00B758F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sz w:val="24"/>
        </w:rPr>
        <w:t>В работе круглого стола приняли участие представители пациентских организаций, представители экспертных, медицинских и общественных организаций</w:t>
      </w:r>
      <w:r w:rsidR="00EA30A8">
        <w:rPr>
          <w:rFonts w:ascii="Times New Roman" w:hAnsi="Times New Roman" w:cs="Times New Roman"/>
          <w:sz w:val="24"/>
        </w:rPr>
        <w:t>.</w:t>
      </w:r>
    </w:p>
    <w:p w:rsidR="00EA30A8" w:rsidRPr="00EA30A8" w:rsidRDefault="00EA30A8" w:rsidP="00EA30A8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рамках работы к</w:t>
      </w:r>
      <w:r w:rsidRPr="00EA30A8">
        <w:rPr>
          <w:rFonts w:ascii="Times New Roman" w:hAnsi="Times New Roman" w:cs="Times New Roman"/>
          <w:b/>
          <w:sz w:val="24"/>
        </w:rPr>
        <w:t>руглого стола обсудили следующие вопросы:</w:t>
      </w:r>
      <w:r w:rsidRPr="00EA30A8">
        <w:rPr>
          <w:rFonts w:ascii="Times New Roman" w:hAnsi="Times New Roman" w:cs="Times New Roman"/>
          <w:sz w:val="24"/>
        </w:rPr>
        <w:t xml:space="preserve">  </w:t>
      </w:r>
    </w:p>
    <w:p w:rsidR="00EA30A8" w:rsidRDefault="00EA30A8" w:rsidP="00EA30A8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30A8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EA30A8">
        <w:rPr>
          <w:rFonts w:ascii="Times New Roman" w:hAnsi="Times New Roman" w:cs="Times New Roman"/>
          <w:b/>
          <w:sz w:val="24"/>
        </w:rPr>
        <w:t>Вопросы льготного налогообложения медицинских изделий.</w:t>
      </w:r>
      <w:r w:rsidRPr="00EA30A8">
        <w:rPr>
          <w:rFonts w:ascii="Times New Roman" w:hAnsi="Times New Roman" w:cs="Times New Roman"/>
          <w:sz w:val="24"/>
        </w:rPr>
        <w:t xml:space="preserve"> </w:t>
      </w:r>
    </w:p>
    <w:p w:rsidR="00EA30A8" w:rsidRDefault="00EA30A8" w:rsidP="00EA30A8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30A8">
        <w:rPr>
          <w:rFonts w:ascii="Times New Roman" w:hAnsi="Times New Roman" w:cs="Times New Roman"/>
          <w:sz w:val="24"/>
        </w:rPr>
        <w:t xml:space="preserve">Участники обсудили те проблемы, с которыми сталкиваются производители в связи с отменой с 2017 года </w:t>
      </w:r>
      <w:r w:rsidR="005F6B10">
        <w:rPr>
          <w:rFonts w:ascii="Times New Roman" w:hAnsi="Times New Roman" w:cs="Times New Roman"/>
          <w:sz w:val="24"/>
        </w:rPr>
        <w:t>Общероссийского</w:t>
      </w:r>
      <w:r w:rsidR="005F6B10" w:rsidRPr="005F6B10">
        <w:rPr>
          <w:rFonts w:ascii="Times New Roman" w:hAnsi="Times New Roman" w:cs="Times New Roman"/>
          <w:sz w:val="24"/>
        </w:rPr>
        <w:t xml:space="preserve"> классификатор</w:t>
      </w:r>
      <w:r w:rsidR="005F6B10">
        <w:rPr>
          <w:rFonts w:ascii="Times New Roman" w:hAnsi="Times New Roman" w:cs="Times New Roman"/>
          <w:sz w:val="24"/>
        </w:rPr>
        <w:t>а</w:t>
      </w:r>
      <w:r w:rsidR="005F6B10" w:rsidRPr="005F6B10">
        <w:rPr>
          <w:rFonts w:ascii="Times New Roman" w:hAnsi="Times New Roman" w:cs="Times New Roman"/>
          <w:sz w:val="24"/>
        </w:rPr>
        <w:t xml:space="preserve"> продукции </w:t>
      </w:r>
      <w:r w:rsidR="005F6B10">
        <w:rPr>
          <w:rFonts w:ascii="Times New Roman" w:hAnsi="Times New Roman" w:cs="Times New Roman"/>
          <w:sz w:val="24"/>
        </w:rPr>
        <w:t>(</w:t>
      </w:r>
      <w:r w:rsidRPr="00EA30A8">
        <w:rPr>
          <w:rFonts w:ascii="Times New Roman" w:hAnsi="Times New Roman" w:cs="Times New Roman"/>
          <w:sz w:val="24"/>
        </w:rPr>
        <w:t>ОКП</w:t>
      </w:r>
      <w:r w:rsidR="005F6B10">
        <w:rPr>
          <w:rFonts w:ascii="Times New Roman" w:hAnsi="Times New Roman" w:cs="Times New Roman"/>
          <w:sz w:val="24"/>
        </w:rPr>
        <w:t>)</w:t>
      </w:r>
      <w:r w:rsidRPr="00EA30A8">
        <w:rPr>
          <w:rFonts w:ascii="Times New Roman" w:hAnsi="Times New Roman" w:cs="Times New Roman"/>
          <w:sz w:val="24"/>
        </w:rPr>
        <w:t xml:space="preserve"> и переходом на новый </w:t>
      </w:r>
      <w:r w:rsidR="005F6B10" w:rsidRPr="005F6B10">
        <w:rPr>
          <w:rFonts w:ascii="Times New Roman" w:hAnsi="Times New Roman" w:cs="Times New Roman"/>
          <w:sz w:val="24"/>
        </w:rPr>
        <w:t xml:space="preserve">Общероссийский классификатор продукции по видам экономической деятельности </w:t>
      </w:r>
      <w:r w:rsidR="005F6B10">
        <w:rPr>
          <w:rFonts w:ascii="Times New Roman" w:hAnsi="Times New Roman" w:cs="Times New Roman"/>
          <w:sz w:val="24"/>
        </w:rPr>
        <w:t>(</w:t>
      </w:r>
      <w:r w:rsidRPr="00EA30A8">
        <w:rPr>
          <w:rFonts w:ascii="Times New Roman" w:hAnsi="Times New Roman" w:cs="Times New Roman"/>
          <w:sz w:val="24"/>
        </w:rPr>
        <w:t>ОКПД2</w:t>
      </w:r>
      <w:r w:rsidR="005F6B10">
        <w:rPr>
          <w:rFonts w:ascii="Times New Roman" w:hAnsi="Times New Roman" w:cs="Times New Roman"/>
          <w:sz w:val="24"/>
        </w:rPr>
        <w:t>)</w:t>
      </w:r>
      <w:r w:rsidRPr="00EA30A8">
        <w:rPr>
          <w:rFonts w:ascii="Times New Roman" w:hAnsi="Times New Roman" w:cs="Times New Roman"/>
          <w:sz w:val="24"/>
        </w:rPr>
        <w:t>, где не были прописаны корректные коды для большого количества медицинских изделий, а также с отсутствием необходимых  кодов ОКПД2 в утвержденном постановлением Правительства Российской Федерации  №1042 от 30 сентября 2015 года, Перечне социально-значимых медицинских изделий, освобождаемых от НДС, что автоматически подразумевает уплату НДС на такие медицинские изделия в размере 18% (а с 2019 г. 20%). Помимо того, что на сегодня фактически на рынке обращаются абсолютно идентичные медицинские изделия одного и того же производителя/либо разных производителей с разными кодами и соответственно с применением разных налоговых режимов, что нарушает конкурентную среду, а также критически влияет на соответствие/несоответствие/нарушение ряда иных взаимосвязанных норматив</w:t>
      </w:r>
      <w:r w:rsidR="005F6B10">
        <w:rPr>
          <w:rFonts w:ascii="Times New Roman" w:hAnsi="Times New Roman" w:cs="Times New Roman"/>
          <w:sz w:val="24"/>
        </w:rPr>
        <w:t xml:space="preserve">ных актов, в том числе постановление </w:t>
      </w:r>
      <w:r>
        <w:rPr>
          <w:rFonts w:ascii="Times New Roman" w:hAnsi="Times New Roman" w:cs="Times New Roman"/>
          <w:sz w:val="24"/>
        </w:rPr>
        <w:t>П</w:t>
      </w:r>
      <w:r w:rsidR="005F6B10">
        <w:rPr>
          <w:rFonts w:ascii="Times New Roman" w:hAnsi="Times New Roman" w:cs="Times New Roman"/>
          <w:sz w:val="24"/>
        </w:rPr>
        <w:t>равительства Российской Федерации</w:t>
      </w:r>
      <w:r>
        <w:rPr>
          <w:rFonts w:ascii="Times New Roman" w:hAnsi="Times New Roman" w:cs="Times New Roman"/>
          <w:sz w:val="24"/>
        </w:rPr>
        <w:t xml:space="preserve"> №102 «</w:t>
      </w:r>
      <w:r w:rsidRPr="00EA30A8">
        <w:rPr>
          <w:rFonts w:ascii="Times New Roman" w:hAnsi="Times New Roman" w:cs="Times New Roman"/>
          <w:sz w:val="24"/>
        </w:rP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</w:t>
      </w:r>
      <w:r>
        <w:rPr>
          <w:rFonts w:ascii="Times New Roman" w:hAnsi="Times New Roman" w:cs="Times New Roman"/>
          <w:sz w:val="24"/>
        </w:rPr>
        <w:t>арс</w:t>
      </w:r>
      <w:r w:rsidR="005F6B10">
        <w:rPr>
          <w:rFonts w:ascii="Times New Roman" w:hAnsi="Times New Roman" w:cs="Times New Roman"/>
          <w:sz w:val="24"/>
        </w:rPr>
        <w:t xml:space="preserve">твенных и муниципальных нужд», постановление </w:t>
      </w:r>
      <w:r>
        <w:rPr>
          <w:rFonts w:ascii="Times New Roman" w:hAnsi="Times New Roman" w:cs="Times New Roman"/>
          <w:sz w:val="24"/>
        </w:rPr>
        <w:t>П</w:t>
      </w:r>
      <w:r w:rsidR="005F6B10">
        <w:rPr>
          <w:rFonts w:ascii="Times New Roman" w:hAnsi="Times New Roman" w:cs="Times New Roman"/>
          <w:sz w:val="24"/>
        </w:rPr>
        <w:t>равительства Российской Федерации</w:t>
      </w:r>
      <w:r>
        <w:rPr>
          <w:rFonts w:ascii="Times New Roman" w:hAnsi="Times New Roman" w:cs="Times New Roman"/>
          <w:sz w:val="24"/>
        </w:rPr>
        <w:t xml:space="preserve"> №719 «</w:t>
      </w:r>
      <w:r w:rsidRPr="00EA30A8">
        <w:rPr>
          <w:rFonts w:ascii="Times New Roman" w:hAnsi="Times New Roman" w:cs="Times New Roman"/>
          <w:sz w:val="24"/>
        </w:rPr>
        <w:t xml:space="preserve">О подтверждении производства промышленной продукции на </w:t>
      </w:r>
      <w:r>
        <w:rPr>
          <w:rFonts w:ascii="Times New Roman" w:hAnsi="Times New Roman" w:cs="Times New Roman"/>
          <w:sz w:val="24"/>
        </w:rPr>
        <w:t>территории Российской Федерации»</w:t>
      </w:r>
      <w:r w:rsidRPr="00EA30A8">
        <w:rPr>
          <w:rFonts w:ascii="Times New Roman" w:hAnsi="Times New Roman" w:cs="Times New Roman"/>
          <w:sz w:val="24"/>
        </w:rPr>
        <w:t xml:space="preserve">, что приводит к невозможности реализации Федеральных программ и государственных инициатив. В конечном итоге это отражается непосредственно и на объеме закупок медицинских изделий со стороны </w:t>
      </w:r>
      <w:r w:rsidR="005F6B10">
        <w:rPr>
          <w:rFonts w:ascii="Times New Roman" w:hAnsi="Times New Roman" w:cs="Times New Roman"/>
          <w:sz w:val="24"/>
        </w:rPr>
        <w:t>лечебно-профилактических учреждений (</w:t>
      </w:r>
      <w:r w:rsidRPr="00EA30A8">
        <w:rPr>
          <w:rFonts w:ascii="Times New Roman" w:hAnsi="Times New Roman" w:cs="Times New Roman"/>
          <w:sz w:val="24"/>
        </w:rPr>
        <w:t>ЛПУ</w:t>
      </w:r>
      <w:r w:rsidR="005F6B10">
        <w:rPr>
          <w:rFonts w:ascii="Times New Roman" w:hAnsi="Times New Roman" w:cs="Times New Roman"/>
          <w:sz w:val="24"/>
        </w:rPr>
        <w:t>)</w:t>
      </w:r>
      <w:r w:rsidRPr="00EA30A8">
        <w:rPr>
          <w:rFonts w:ascii="Times New Roman" w:hAnsi="Times New Roman" w:cs="Times New Roman"/>
          <w:sz w:val="24"/>
        </w:rPr>
        <w:t>. Ключевой проблемой в данном вопросе является цена медицинского изделия, которая увеличивается как минимум на 18% для конечного пользователя (для ЛПУ, всех медицинских центров, а в итоге – для пациентов), что критически влияет на количество закупаемых изделий и их качество, учитывая ограниченность бюджета медицинских учреждений, который планировался без учета НДС.</w:t>
      </w:r>
    </w:p>
    <w:p w:rsidR="00EA30A8" w:rsidRDefault="00EA30A8" w:rsidP="00EA30A8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EA30A8">
        <w:rPr>
          <w:rFonts w:ascii="Times New Roman" w:hAnsi="Times New Roman" w:cs="Times New Roman"/>
          <w:b/>
          <w:sz w:val="24"/>
        </w:rPr>
        <w:t>Целесообразность введения требования по проведению клинических испытаний с участием человека сегодня в РФ.</w:t>
      </w:r>
      <w:r w:rsidRPr="00EA30A8">
        <w:rPr>
          <w:rFonts w:ascii="Times New Roman" w:hAnsi="Times New Roman" w:cs="Times New Roman"/>
          <w:sz w:val="24"/>
        </w:rPr>
        <w:t xml:space="preserve"> </w:t>
      </w:r>
    </w:p>
    <w:p w:rsidR="00EA30A8" w:rsidRDefault="00EA30A8" w:rsidP="00EA30A8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30A8">
        <w:rPr>
          <w:rFonts w:ascii="Times New Roman" w:hAnsi="Times New Roman" w:cs="Times New Roman"/>
          <w:sz w:val="24"/>
        </w:rPr>
        <w:t xml:space="preserve">Участники дискуссии аргументированно описали те риски, с которыми столкнется рынок производителей медицинских изделий высоких классов риска при введении </w:t>
      </w:r>
      <w:r w:rsidRPr="00EA30A8">
        <w:rPr>
          <w:rFonts w:ascii="Times New Roman" w:hAnsi="Times New Roman" w:cs="Times New Roman"/>
          <w:sz w:val="24"/>
        </w:rPr>
        <w:lastRenderedPageBreak/>
        <w:t>требования о необходимости проведения клин</w:t>
      </w:r>
      <w:r w:rsidR="005F6B10">
        <w:rPr>
          <w:rFonts w:ascii="Times New Roman" w:hAnsi="Times New Roman" w:cs="Times New Roman"/>
          <w:sz w:val="24"/>
        </w:rPr>
        <w:t>ических</w:t>
      </w:r>
      <w:r w:rsidRPr="00EA30A8">
        <w:rPr>
          <w:rFonts w:ascii="Times New Roman" w:hAnsi="Times New Roman" w:cs="Times New Roman"/>
          <w:sz w:val="24"/>
        </w:rPr>
        <w:t xml:space="preserve"> испытаний с участием человека. В частности, было отмечено, что предлагаемые требования приведут к серьезному замедлению вывода на рынок инновационных </w:t>
      </w:r>
      <w:r w:rsidR="005F6B10">
        <w:rPr>
          <w:rFonts w:ascii="Times New Roman" w:hAnsi="Times New Roman" w:cs="Times New Roman"/>
          <w:sz w:val="24"/>
        </w:rPr>
        <w:t>медицинских изделий</w:t>
      </w:r>
      <w:r w:rsidRPr="00EA30A8">
        <w:rPr>
          <w:rFonts w:ascii="Times New Roman" w:hAnsi="Times New Roman" w:cs="Times New Roman"/>
          <w:sz w:val="24"/>
        </w:rPr>
        <w:t xml:space="preserve">. При проведении </w:t>
      </w:r>
      <w:r w:rsidR="005F6B10">
        <w:rPr>
          <w:rFonts w:ascii="Times New Roman" w:hAnsi="Times New Roman" w:cs="Times New Roman"/>
          <w:sz w:val="24"/>
        </w:rPr>
        <w:t>клинических исследований</w:t>
      </w:r>
      <w:r w:rsidRPr="00EA30A8">
        <w:rPr>
          <w:rFonts w:ascii="Times New Roman" w:hAnsi="Times New Roman" w:cs="Times New Roman"/>
          <w:sz w:val="24"/>
        </w:rPr>
        <w:t xml:space="preserve"> в рамках регистрации важнейших для </w:t>
      </w:r>
      <w:r w:rsidR="005F6B10">
        <w:rPr>
          <w:rFonts w:ascii="Times New Roman" w:hAnsi="Times New Roman" w:cs="Times New Roman"/>
          <w:sz w:val="24"/>
        </w:rPr>
        <w:t>российского рынка и населения медицинских изделий</w:t>
      </w:r>
      <w:r w:rsidRPr="00EA30A8">
        <w:rPr>
          <w:rFonts w:ascii="Times New Roman" w:hAnsi="Times New Roman" w:cs="Times New Roman"/>
          <w:sz w:val="24"/>
        </w:rPr>
        <w:t xml:space="preserve"> существенно возрастут финансовые затраты компаний, что безусловно скажется на конечной стоимости самой продукции. В ходе дискуссии был упомянут и вопрос этичности проведения дополнительных </w:t>
      </w:r>
      <w:r w:rsidR="008816E0">
        <w:rPr>
          <w:rFonts w:ascii="Times New Roman" w:hAnsi="Times New Roman" w:cs="Times New Roman"/>
          <w:sz w:val="24"/>
        </w:rPr>
        <w:t>клинических исследований</w:t>
      </w:r>
      <w:r w:rsidRPr="00EA30A8">
        <w:rPr>
          <w:rFonts w:ascii="Times New Roman" w:hAnsi="Times New Roman" w:cs="Times New Roman"/>
          <w:sz w:val="24"/>
        </w:rPr>
        <w:t xml:space="preserve"> при наличии уже проведенных ранее </w:t>
      </w:r>
      <w:r w:rsidR="008816E0">
        <w:rPr>
          <w:rFonts w:ascii="Times New Roman" w:hAnsi="Times New Roman" w:cs="Times New Roman"/>
          <w:sz w:val="24"/>
        </w:rPr>
        <w:t>клинических исследований</w:t>
      </w:r>
      <w:r w:rsidRPr="00EA30A8">
        <w:rPr>
          <w:rFonts w:ascii="Times New Roman" w:hAnsi="Times New Roman" w:cs="Times New Roman"/>
          <w:sz w:val="24"/>
        </w:rPr>
        <w:t xml:space="preserve"> в дру</w:t>
      </w:r>
      <w:r w:rsidR="008816E0">
        <w:rPr>
          <w:rFonts w:ascii="Times New Roman" w:hAnsi="Times New Roman" w:cs="Times New Roman"/>
          <w:sz w:val="24"/>
        </w:rPr>
        <w:t>гих юрисдикциях, где подобные медицинские изделия</w:t>
      </w:r>
      <w:r w:rsidRPr="00EA30A8">
        <w:rPr>
          <w:rFonts w:ascii="Times New Roman" w:hAnsi="Times New Roman" w:cs="Times New Roman"/>
          <w:sz w:val="24"/>
        </w:rPr>
        <w:t xml:space="preserve"> успешно обращаются. Пациенты не смогут получать новые высокотехнологичные методы обследования, диагностики и лечения наравне с </w:t>
      </w:r>
      <w:r>
        <w:rPr>
          <w:rFonts w:ascii="Times New Roman" w:hAnsi="Times New Roman" w:cs="Times New Roman"/>
          <w:sz w:val="24"/>
        </w:rPr>
        <w:t xml:space="preserve">пациентами в других странах. Со </w:t>
      </w:r>
      <w:r w:rsidRPr="00EA30A8">
        <w:rPr>
          <w:rFonts w:ascii="Times New Roman" w:hAnsi="Times New Roman" w:cs="Times New Roman"/>
          <w:sz w:val="24"/>
        </w:rPr>
        <w:t>своей стороны</w:t>
      </w:r>
      <w:r>
        <w:rPr>
          <w:rFonts w:ascii="Times New Roman" w:hAnsi="Times New Roman" w:cs="Times New Roman"/>
          <w:sz w:val="24"/>
        </w:rPr>
        <w:t>,</w:t>
      </w:r>
      <w:r w:rsidRPr="00EA30A8">
        <w:rPr>
          <w:rFonts w:ascii="Times New Roman" w:hAnsi="Times New Roman" w:cs="Times New Roman"/>
          <w:sz w:val="24"/>
        </w:rPr>
        <w:t xml:space="preserve"> представитель Росздравнадзора обосновала необходимость введ</w:t>
      </w:r>
      <w:r w:rsidR="001D1114">
        <w:rPr>
          <w:rFonts w:ascii="Times New Roman" w:hAnsi="Times New Roman" w:cs="Times New Roman"/>
          <w:sz w:val="24"/>
        </w:rPr>
        <w:t>ения требования по проведению клинических исследований</w:t>
      </w:r>
      <w:r w:rsidRPr="00EA30A8">
        <w:rPr>
          <w:rFonts w:ascii="Times New Roman" w:hAnsi="Times New Roman" w:cs="Times New Roman"/>
          <w:sz w:val="24"/>
        </w:rPr>
        <w:t xml:space="preserve"> низким качеством документов, подтвер</w:t>
      </w:r>
      <w:r w:rsidR="001D1114">
        <w:rPr>
          <w:rFonts w:ascii="Times New Roman" w:hAnsi="Times New Roman" w:cs="Times New Roman"/>
          <w:sz w:val="24"/>
        </w:rPr>
        <w:t>ждающих результаты проведения клинических исследований</w:t>
      </w:r>
      <w:r w:rsidRPr="00EA30A8">
        <w:rPr>
          <w:rFonts w:ascii="Times New Roman" w:hAnsi="Times New Roman" w:cs="Times New Roman"/>
          <w:sz w:val="24"/>
        </w:rPr>
        <w:t xml:space="preserve"> и предоставляемых в составе регистрационного досье, а также возрастающим количеством негативных случаев при использовании находящихся уже в обращении медицинских изделий. Участники пришли к выводу о необходимости соблюдения баланса интересов всех заинтересованных сторон.</w:t>
      </w:r>
    </w:p>
    <w:p w:rsidR="00EA30A8" w:rsidRDefault="00EA30A8" w:rsidP="00EA30A8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30A8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EA30A8">
        <w:rPr>
          <w:rFonts w:ascii="Times New Roman" w:hAnsi="Times New Roman" w:cs="Times New Roman"/>
          <w:b/>
          <w:sz w:val="24"/>
        </w:rPr>
        <w:t>Влияние импортозамещения на доступность/эффективность оказываемой пациентам медицинской помощи, в части использования медицинских изделий.</w:t>
      </w:r>
      <w:r w:rsidRPr="00EA30A8">
        <w:rPr>
          <w:rFonts w:ascii="Times New Roman" w:hAnsi="Times New Roman" w:cs="Times New Roman"/>
          <w:sz w:val="24"/>
        </w:rPr>
        <w:t xml:space="preserve"> </w:t>
      </w:r>
    </w:p>
    <w:p w:rsidR="00EA30A8" w:rsidRPr="00EA30A8" w:rsidRDefault="00EA30A8" w:rsidP="00EA30A8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30A8">
        <w:rPr>
          <w:rFonts w:ascii="Times New Roman" w:hAnsi="Times New Roman" w:cs="Times New Roman"/>
          <w:sz w:val="24"/>
        </w:rPr>
        <w:t>Учас</w:t>
      </w:r>
      <w:r>
        <w:rPr>
          <w:rFonts w:ascii="Times New Roman" w:hAnsi="Times New Roman" w:cs="Times New Roman"/>
          <w:sz w:val="24"/>
        </w:rPr>
        <w:t>тники круглого с</w:t>
      </w:r>
      <w:r w:rsidRPr="00EA30A8">
        <w:rPr>
          <w:rFonts w:ascii="Times New Roman" w:hAnsi="Times New Roman" w:cs="Times New Roman"/>
          <w:sz w:val="24"/>
        </w:rPr>
        <w:t>тола обсудили вопросы</w:t>
      </w:r>
      <w:r>
        <w:rPr>
          <w:rFonts w:ascii="Times New Roman" w:hAnsi="Times New Roman" w:cs="Times New Roman"/>
          <w:sz w:val="24"/>
        </w:rPr>
        <w:t>,</w:t>
      </w:r>
      <w:r w:rsidRPr="00EA30A8">
        <w:rPr>
          <w:rFonts w:ascii="Times New Roman" w:hAnsi="Times New Roman" w:cs="Times New Roman"/>
          <w:sz w:val="24"/>
        </w:rPr>
        <w:t xml:space="preserve"> связанные с разрабатываемой сегодня Минпромторгом РФ и другими заинтересованными ведомствами Стратегией развития Медпрома 2030. В частности, была затронута тема возможной отмены нулевой ставки НДС для всех МИ. По мнению разработчик</w:t>
      </w:r>
      <w:r w:rsidR="001D1114">
        <w:rPr>
          <w:rFonts w:ascii="Times New Roman" w:hAnsi="Times New Roman" w:cs="Times New Roman"/>
          <w:sz w:val="24"/>
        </w:rPr>
        <w:t>ов, отмена нулевой ставки для медицинских изделий</w:t>
      </w:r>
      <w:r w:rsidRPr="00EA30A8">
        <w:rPr>
          <w:rFonts w:ascii="Times New Roman" w:hAnsi="Times New Roman" w:cs="Times New Roman"/>
          <w:sz w:val="24"/>
        </w:rPr>
        <w:t xml:space="preserve"> якобы должна решить сложности отечественных производителей медицинских изделий. Однако, это безусловно приведет к удорожанию закупаемых медицинских изделий и негативно отразится на бюджетных возможностях всех медицинских учреждений и, в конечном итоге, на объемах и качестве оказываемой медицинской помощи для самих пациентов. Кроме того, с учетом общей линии государства на развитие отечественной индустрии медицинских изделий была затронута тема приоритетности создания, в первую очередь, благоприятных условий для иностранных инвесторов с целью локализации их производства в РФ, а также при определении приоритетов в импортозамещении ориентироваться на интересы пациентов и увеличение доступа пациентов к раз</w:t>
      </w:r>
      <w:r w:rsidR="00BE34B0">
        <w:rPr>
          <w:rFonts w:ascii="Times New Roman" w:hAnsi="Times New Roman" w:cs="Times New Roman"/>
          <w:sz w:val="24"/>
        </w:rPr>
        <w:t>нообразным высококачественным медицинским изделиям</w:t>
      </w:r>
      <w:r w:rsidRPr="00EA30A8">
        <w:rPr>
          <w:rFonts w:ascii="Times New Roman" w:hAnsi="Times New Roman" w:cs="Times New Roman"/>
          <w:sz w:val="24"/>
        </w:rPr>
        <w:t>.</w:t>
      </w:r>
    </w:p>
    <w:p w:rsidR="008143FF" w:rsidRDefault="008143FF" w:rsidP="008143F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Рекомендации участников круглого стола</w:t>
      </w:r>
      <w:r>
        <w:rPr>
          <w:rFonts w:ascii="Times New Roman" w:hAnsi="Times New Roman" w:cs="Times New Roman"/>
          <w:b/>
          <w:sz w:val="24"/>
        </w:rPr>
        <w:t>:</w:t>
      </w:r>
    </w:p>
    <w:p w:rsidR="008143FF" w:rsidRDefault="008143FF" w:rsidP="001D111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Д</w:t>
      </w:r>
      <w:r w:rsidRPr="008143FF">
        <w:rPr>
          <w:rFonts w:ascii="Times New Roman" w:hAnsi="Times New Roman" w:cs="Times New Roman"/>
          <w:sz w:val="24"/>
        </w:rPr>
        <w:t>ополнение Перечня меди</w:t>
      </w:r>
      <w:r w:rsidR="00BE34B0">
        <w:rPr>
          <w:rFonts w:ascii="Times New Roman" w:hAnsi="Times New Roman" w:cs="Times New Roman"/>
          <w:sz w:val="24"/>
        </w:rPr>
        <w:t xml:space="preserve">цинских изделий, утвержденного </w:t>
      </w:r>
      <w:r w:rsidR="00BE34B0" w:rsidRPr="00BE34B0">
        <w:rPr>
          <w:rFonts w:ascii="Times New Roman" w:hAnsi="Times New Roman" w:cs="Times New Roman"/>
          <w:sz w:val="24"/>
        </w:rPr>
        <w:t>Постановление</w:t>
      </w:r>
      <w:r w:rsidR="00BE34B0">
        <w:rPr>
          <w:rFonts w:ascii="Times New Roman" w:hAnsi="Times New Roman" w:cs="Times New Roman"/>
          <w:sz w:val="24"/>
        </w:rPr>
        <w:t>м</w:t>
      </w:r>
      <w:r w:rsidR="00BE34B0" w:rsidRPr="00BE34B0">
        <w:rPr>
          <w:rFonts w:ascii="Times New Roman" w:hAnsi="Times New Roman" w:cs="Times New Roman"/>
          <w:sz w:val="24"/>
        </w:rPr>
        <w:t xml:space="preserve"> Правитель</w:t>
      </w:r>
      <w:r w:rsidR="001D1114">
        <w:rPr>
          <w:rFonts w:ascii="Times New Roman" w:hAnsi="Times New Roman" w:cs="Times New Roman"/>
          <w:sz w:val="24"/>
        </w:rPr>
        <w:t>ства РФ от 30 сентября 2015 г. №</w:t>
      </w:r>
      <w:r w:rsidR="00BE34B0" w:rsidRPr="00BE34B0">
        <w:rPr>
          <w:rFonts w:ascii="Times New Roman" w:hAnsi="Times New Roman" w:cs="Times New Roman"/>
          <w:sz w:val="24"/>
        </w:rPr>
        <w:t xml:space="preserve"> 1042</w:t>
      </w:r>
      <w:r w:rsidR="00BE34B0">
        <w:rPr>
          <w:rFonts w:ascii="Times New Roman" w:hAnsi="Times New Roman" w:cs="Times New Roman"/>
          <w:sz w:val="24"/>
        </w:rPr>
        <w:t xml:space="preserve"> «</w:t>
      </w:r>
      <w:r w:rsidR="00BE34B0" w:rsidRPr="00BE34B0">
        <w:rPr>
          <w:rFonts w:ascii="Times New Roman" w:hAnsi="Times New Roman" w:cs="Times New Roman"/>
          <w:sz w:val="24"/>
        </w:rPr>
        <w:t>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</w:r>
      <w:r w:rsidR="00BE34B0">
        <w:rPr>
          <w:rFonts w:ascii="Times New Roman" w:hAnsi="Times New Roman" w:cs="Times New Roman"/>
          <w:sz w:val="24"/>
        </w:rPr>
        <w:t>»</w:t>
      </w:r>
      <w:r w:rsidRPr="008143FF">
        <w:rPr>
          <w:rFonts w:ascii="Times New Roman" w:hAnsi="Times New Roman" w:cs="Times New Roman"/>
          <w:sz w:val="24"/>
        </w:rPr>
        <w:t xml:space="preserve">, необходимыми отсутствующими кодами </w:t>
      </w:r>
      <w:r w:rsidR="001D1114">
        <w:rPr>
          <w:rFonts w:ascii="Times New Roman" w:hAnsi="Times New Roman" w:cs="Times New Roman"/>
          <w:sz w:val="24"/>
        </w:rPr>
        <w:t>Общероссийского</w:t>
      </w:r>
      <w:r w:rsidR="001D1114" w:rsidRPr="005F6B10">
        <w:rPr>
          <w:rFonts w:ascii="Times New Roman" w:hAnsi="Times New Roman" w:cs="Times New Roman"/>
          <w:sz w:val="24"/>
        </w:rPr>
        <w:t xml:space="preserve"> классификатор</w:t>
      </w:r>
      <w:r w:rsidR="001D1114">
        <w:rPr>
          <w:rFonts w:ascii="Times New Roman" w:hAnsi="Times New Roman" w:cs="Times New Roman"/>
          <w:sz w:val="24"/>
        </w:rPr>
        <w:t>а</w:t>
      </w:r>
      <w:r w:rsidR="001D1114" w:rsidRPr="005F6B10">
        <w:rPr>
          <w:rFonts w:ascii="Times New Roman" w:hAnsi="Times New Roman" w:cs="Times New Roman"/>
          <w:sz w:val="24"/>
        </w:rPr>
        <w:t xml:space="preserve"> продукции по видам экономической деятельности</w:t>
      </w:r>
      <w:r w:rsidR="001D1114">
        <w:rPr>
          <w:rFonts w:ascii="Times New Roman" w:hAnsi="Times New Roman" w:cs="Times New Roman"/>
          <w:sz w:val="24"/>
        </w:rPr>
        <w:t xml:space="preserve"> - </w:t>
      </w:r>
      <w:r w:rsidRPr="008143FF">
        <w:rPr>
          <w:rFonts w:ascii="Times New Roman" w:hAnsi="Times New Roman" w:cs="Times New Roman"/>
          <w:sz w:val="24"/>
        </w:rPr>
        <w:t>ОКПД2, для исключения существенного роста стоимости таких медицинских изделий и снижения затрат системы здравоохранения на их закупку</w:t>
      </w:r>
      <w:r w:rsidR="00D90483">
        <w:rPr>
          <w:rFonts w:ascii="Times New Roman" w:hAnsi="Times New Roman" w:cs="Times New Roman"/>
          <w:sz w:val="24"/>
        </w:rPr>
        <w:t>,</w:t>
      </w:r>
      <w:r w:rsidRPr="008143FF">
        <w:rPr>
          <w:rFonts w:ascii="Times New Roman" w:hAnsi="Times New Roman" w:cs="Times New Roman"/>
          <w:sz w:val="24"/>
        </w:rPr>
        <w:t xml:space="preserve"> а также синхронизация и корректировка всех иных нормативных документов (</w:t>
      </w:r>
      <w:r w:rsidR="001D1114">
        <w:rPr>
          <w:rFonts w:ascii="Times New Roman" w:hAnsi="Times New Roman" w:cs="Times New Roman"/>
          <w:sz w:val="24"/>
        </w:rPr>
        <w:t>п</w:t>
      </w:r>
      <w:r w:rsidR="001D1114" w:rsidRPr="001D1114">
        <w:rPr>
          <w:rFonts w:ascii="Times New Roman" w:hAnsi="Times New Roman" w:cs="Times New Roman"/>
          <w:sz w:val="24"/>
        </w:rPr>
        <w:t>остановление Правительс</w:t>
      </w:r>
      <w:r w:rsidR="001D1114">
        <w:rPr>
          <w:rFonts w:ascii="Times New Roman" w:hAnsi="Times New Roman" w:cs="Times New Roman"/>
          <w:sz w:val="24"/>
        </w:rPr>
        <w:t xml:space="preserve">тва РФ от 15 сентября 2008 г. № </w:t>
      </w:r>
      <w:r w:rsidR="001D1114" w:rsidRPr="001D1114">
        <w:rPr>
          <w:rFonts w:ascii="Times New Roman" w:hAnsi="Times New Roman" w:cs="Times New Roman"/>
          <w:sz w:val="24"/>
        </w:rPr>
        <w:t>688</w:t>
      </w:r>
      <w:r w:rsidR="001D1114">
        <w:rPr>
          <w:rFonts w:ascii="Times New Roman" w:hAnsi="Times New Roman" w:cs="Times New Roman"/>
          <w:sz w:val="24"/>
        </w:rPr>
        <w:t xml:space="preserve"> «</w:t>
      </w:r>
      <w:r w:rsidR="001D1114" w:rsidRPr="001D1114">
        <w:rPr>
          <w:rFonts w:ascii="Times New Roman" w:hAnsi="Times New Roman" w:cs="Times New Roman"/>
          <w:sz w:val="24"/>
        </w:rPr>
        <w:t>Об утверждении перечней кодов медицинских товаров, облагаемых налогом на добавленную стоимость по налоговой ставке 10 процентов</w:t>
      </w:r>
      <w:r w:rsidR="001D1114">
        <w:rPr>
          <w:rFonts w:ascii="Times New Roman" w:hAnsi="Times New Roman" w:cs="Times New Roman"/>
          <w:sz w:val="24"/>
        </w:rPr>
        <w:t>»</w:t>
      </w:r>
      <w:r w:rsidRPr="008143FF">
        <w:rPr>
          <w:rFonts w:ascii="Times New Roman" w:hAnsi="Times New Roman" w:cs="Times New Roman"/>
          <w:sz w:val="24"/>
        </w:rPr>
        <w:t xml:space="preserve">, </w:t>
      </w:r>
      <w:r w:rsidR="001D1114">
        <w:rPr>
          <w:rFonts w:ascii="Times New Roman" w:hAnsi="Times New Roman" w:cs="Times New Roman"/>
          <w:sz w:val="24"/>
        </w:rPr>
        <w:t>п</w:t>
      </w:r>
      <w:r w:rsidR="001D1114" w:rsidRPr="001D1114">
        <w:rPr>
          <w:rFonts w:ascii="Times New Roman" w:hAnsi="Times New Roman" w:cs="Times New Roman"/>
          <w:sz w:val="24"/>
        </w:rPr>
        <w:t>остановление Правите</w:t>
      </w:r>
      <w:r w:rsidR="001D1114">
        <w:rPr>
          <w:rFonts w:ascii="Times New Roman" w:hAnsi="Times New Roman" w:cs="Times New Roman"/>
          <w:sz w:val="24"/>
        </w:rPr>
        <w:t>льства РФ от 5 февраля 2015 г. №</w:t>
      </w:r>
      <w:r w:rsidR="001D1114" w:rsidRPr="001D1114">
        <w:rPr>
          <w:rFonts w:ascii="Times New Roman" w:hAnsi="Times New Roman" w:cs="Times New Roman"/>
          <w:sz w:val="24"/>
        </w:rPr>
        <w:t xml:space="preserve"> 102</w:t>
      </w:r>
      <w:r w:rsidR="001D1114">
        <w:rPr>
          <w:rFonts w:ascii="Times New Roman" w:hAnsi="Times New Roman" w:cs="Times New Roman"/>
          <w:sz w:val="24"/>
        </w:rPr>
        <w:t xml:space="preserve"> «</w:t>
      </w:r>
      <w:r w:rsidR="001D1114" w:rsidRPr="001D1114">
        <w:rPr>
          <w:rFonts w:ascii="Times New Roman" w:hAnsi="Times New Roman" w:cs="Times New Roman"/>
          <w:sz w:val="24"/>
        </w:rP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</w:t>
      </w:r>
      <w:r w:rsidR="001D1114">
        <w:rPr>
          <w:rFonts w:ascii="Times New Roman" w:hAnsi="Times New Roman" w:cs="Times New Roman"/>
          <w:sz w:val="24"/>
        </w:rPr>
        <w:t>арственных и муниципальных нужд», п</w:t>
      </w:r>
      <w:r w:rsidR="001D1114" w:rsidRPr="001D1114">
        <w:rPr>
          <w:rFonts w:ascii="Times New Roman" w:hAnsi="Times New Roman" w:cs="Times New Roman"/>
          <w:sz w:val="24"/>
        </w:rPr>
        <w:t>остановление Прави</w:t>
      </w:r>
      <w:r w:rsidR="001D1114">
        <w:rPr>
          <w:rFonts w:ascii="Times New Roman" w:hAnsi="Times New Roman" w:cs="Times New Roman"/>
          <w:sz w:val="24"/>
        </w:rPr>
        <w:t>тельства РФ от 17 июля 2015 г. №</w:t>
      </w:r>
      <w:r w:rsidR="001D1114" w:rsidRPr="001D1114">
        <w:rPr>
          <w:rFonts w:ascii="Times New Roman" w:hAnsi="Times New Roman" w:cs="Times New Roman"/>
          <w:sz w:val="24"/>
        </w:rPr>
        <w:t xml:space="preserve"> 719</w:t>
      </w:r>
      <w:r w:rsidR="001D1114">
        <w:rPr>
          <w:rFonts w:ascii="Times New Roman" w:hAnsi="Times New Roman" w:cs="Times New Roman"/>
          <w:sz w:val="24"/>
        </w:rPr>
        <w:t xml:space="preserve"> «</w:t>
      </w:r>
      <w:r w:rsidR="001D1114" w:rsidRPr="001D1114">
        <w:rPr>
          <w:rFonts w:ascii="Times New Roman" w:hAnsi="Times New Roman" w:cs="Times New Roman"/>
          <w:sz w:val="24"/>
        </w:rPr>
        <w:t xml:space="preserve">О подтверждении </w:t>
      </w:r>
      <w:r w:rsidR="001D1114" w:rsidRPr="001D1114">
        <w:rPr>
          <w:rFonts w:ascii="Times New Roman" w:hAnsi="Times New Roman" w:cs="Times New Roman"/>
          <w:sz w:val="24"/>
        </w:rPr>
        <w:lastRenderedPageBreak/>
        <w:t xml:space="preserve">производства промышленной продукции на </w:t>
      </w:r>
      <w:r w:rsidR="001D1114">
        <w:rPr>
          <w:rFonts w:ascii="Times New Roman" w:hAnsi="Times New Roman" w:cs="Times New Roman"/>
          <w:sz w:val="24"/>
        </w:rPr>
        <w:t>территории Российской Федерации»</w:t>
      </w:r>
      <w:r w:rsidRPr="008143FF">
        <w:rPr>
          <w:rFonts w:ascii="Times New Roman" w:hAnsi="Times New Roman" w:cs="Times New Roman"/>
          <w:sz w:val="24"/>
        </w:rPr>
        <w:t>, Каталог товаров работ и услуг в части медицинских изделий и др.), ссылающихся на коды ОКПД2.</w:t>
      </w:r>
    </w:p>
    <w:p w:rsidR="00D90483" w:rsidRPr="00D90483" w:rsidRDefault="00D90483" w:rsidP="00D9048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90483">
        <w:rPr>
          <w:rFonts w:ascii="Times New Roman" w:hAnsi="Times New Roman" w:cs="Times New Roman"/>
          <w:sz w:val="24"/>
        </w:rPr>
        <w:t>Не предусматривать проведе</w:t>
      </w:r>
      <w:r w:rsidR="006D0025">
        <w:rPr>
          <w:rFonts w:ascii="Times New Roman" w:hAnsi="Times New Roman" w:cs="Times New Roman"/>
          <w:sz w:val="24"/>
        </w:rPr>
        <w:t>ние клинических исследований</w:t>
      </w:r>
      <w:r>
        <w:rPr>
          <w:rFonts w:ascii="Times New Roman" w:hAnsi="Times New Roman" w:cs="Times New Roman"/>
          <w:sz w:val="24"/>
        </w:rPr>
        <w:t xml:space="preserve"> с участием пациентов, при </w:t>
      </w:r>
      <w:r w:rsidR="006D0025">
        <w:rPr>
          <w:rFonts w:ascii="Times New Roman" w:hAnsi="Times New Roman" w:cs="Times New Roman"/>
          <w:sz w:val="24"/>
        </w:rPr>
        <w:t xml:space="preserve">наличии </w:t>
      </w:r>
      <w:r w:rsidRPr="00D90483">
        <w:rPr>
          <w:rFonts w:ascii="Times New Roman" w:hAnsi="Times New Roman" w:cs="Times New Roman"/>
          <w:sz w:val="24"/>
        </w:rPr>
        <w:t xml:space="preserve">достаточных клинических данных, подтверждающих эффективность и безопасность регистрируемых </w:t>
      </w:r>
      <w:r w:rsidR="006D0025">
        <w:rPr>
          <w:rFonts w:ascii="Times New Roman" w:hAnsi="Times New Roman" w:cs="Times New Roman"/>
          <w:sz w:val="24"/>
        </w:rPr>
        <w:t>медицинских изделий</w:t>
      </w:r>
      <w:r w:rsidRPr="00D90483">
        <w:rPr>
          <w:rFonts w:ascii="Times New Roman" w:hAnsi="Times New Roman" w:cs="Times New Roman"/>
          <w:sz w:val="24"/>
        </w:rPr>
        <w:t xml:space="preserve">, (например, имеющих СЕ марку) свидетельствующих о наличии серьезных и </w:t>
      </w:r>
      <w:r w:rsidR="006D0025">
        <w:rPr>
          <w:rFonts w:ascii="Times New Roman" w:hAnsi="Times New Roman" w:cs="Times New Roman"/>
          <w:sz w:val="24"/>
        </w:rPr>
        <w:t>достоверных клинических отзывах</w:t>
      </w:r>
      <w:r w:rsidRPr="00D90483">
        <w:rPr>
          <w:rFonts w:ascii="Times New Roman" w:hAnsi="Times New Roman" w:cs="Times New Roman"/>
          <w:sz w:val="24"/>
        </w:rPr>
        <w:t xml:space="preserve"> и заключений, опубликованных в ведущих международных специализированных изданиях.</w:t>
      </w:r>
    </w:p>
    <w:p w:rsidR="00D90483" w:rsidRPr="00D90483" w:rsidRDefault="00D90483" w:rsidP="00D9048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D90483">
        <w:rPr>
          <w:rFonts w:ascii="Times New Roman" w:hAnsi="Times New Roman" w:cs="Times New Roman"/>
          <w:sz w:val="24"/>
        </w:rPr>
        <w:t>Разработать критерии для определения конкретных слу</w:t>
      </w:r>
      <w:r w:rsidR="006D0025">
        <w:rPr>
          <w:rFonts w:ascii="Times New Roman" w:hAnsi="Times New Roman" w:cs="Times New Roman"/>
          <w:sz w:val="24"/>
        </w:rPr>
        <w:t xml:space="preserve">чаев необходимости проведения клинических исследований </w:t>
      </w:r>
      <w:r w:rsidRPr="00D90483">
        <w:rPr>
          <w:rFonts w:ascii="Times New Roman" w:hAnsi="Times New Roman" w:cs="Times New Roman"/>
          <w:sz w:val="24"/>
        </w:rPr>
        <w:t>с участием человека, когда невозм</w:t>
      </w:r>
      <w:r>
        <w:rPr>
          <w:rFonts w:ascii="Times New Roman" w:hAnsi="Times New Roman" w:cs="Times New Roman"/>
          <w:sz w:val="24"/>
        </w:rPr>
        <w:t xml:space="preserve">ожно подтвердить эффективность </w:t>
      </w:r>
      <w:r w:rsidRPr="00D90483">
        <w:rPr>
          <w:rFonts w:ascii="Times New Roman" w:hAnsi="Times New Roman" w:cs="Times New Roman"/>
          <w:sz w:val="24"/>
        </w:rPr>
        <w:t>и безопасность медицинского изделия путем оценки и анализа клинических данных.</w:t>
      </w:r>
    </w:p>
    <w:p w:rsidR="00D90483" w:rsidRDefault="00D90483" w:rsidP="00D9048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D90483">
        <w:rPr>
          <w:rFonts w:ascii="Times New Roman" w:hAnsi="Times New Roman" w:cs="Times New Roman"/>
          <w:sz w:val="24"/>
        </w:rPr>
        <w:t>Разработать порядок осуществления специального пострегистрационного клинического мониторинга для медицинских изделий высоких классов риска вместо и/или вместе с пров</w:t>
      </w:r>
      <w:r w:rsidR="006D0025">
        <w:rPr>
          <w:rFonts w:ascii="Times New Roman" w:hAnsi="Times New Roman" w:cs="Times New Roman"/>
          <w:sz w:val="24"/>
        </w:rPr>
        <w:t>едением дорегистрационных клинических исследований</w:t>
      </w:r>
      <w:r w:rsidRPr="00D90483">
        <w:rPr>
          <w:rFonts w:ascii="Times New Roman" w:hAnsi="Times New Roman" w:cs="Times New Roman"/>
          <w:sz w:val="24"/>
        </w:rPr>
        <w:t>.</w:t>
      </w:r>
    </w:p>
    <w:p w:rsidR="00EE3874" w:rsidRPr="00EE3874" w:rsidRDefault="00EE3874" w:rsidP="00EE387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Н</w:t>
      </w:r>
      <w:r w:rsidRPr="00EE3874">
        <w:rPr>
          <w:rFonts w:ascii="Times New Roman" w:hAnsi="Times New Roman" w:cs="Times New Roman"/>
          <w:sz w:val="24"/>
        </w:rPr>
        <w:t>е отменять специального налогового режима для медицинских изделий, освобождаемых от НДС.</w:t>
      </w:r>
    </w:p>
    <w:p w:rsidR="00EE3874" w:rsidRPr="00EE3874" w:rsidRDefault="00EE3874" w:rsidP="00EE387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Д</w:t>
      </w:r>
      <w:r w:rsidRPr="00EE3874">
        <w:rPr>
          <w:rFonts w:ascii="Times New Roman" w:hAnsi="Times New Roman" w:cs="Times New Roman"/>
          <w:sz w:val="24"/>
        </w:rPr>
        <w:t xml:space="preserve">ля поддержки отечественных производителей и стимулирования локализации производства предусмотреть отмену НДС на все компоненты и комплектующие, независимо от места их производства и наличия аналогов, используемые для производства медицинских изделий в России, с максимальным упрощением процедуры подтверждения прав локальных производителей на получение такой налоговой преференции.  </w:t>
      </w:r>
    </w:p>
    <w:p w:rsidR="00EE3874" w:rsidRPr="008143FF" w:rsidRDefault="00EE3874" w:rsidP="006D002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С</w:t>
      </w:r>
      <w:r w:rsidRPr="00EE3874">
        <w:rPr>
          <w:rFonts w:ascii="Times New Roman" w:hAnsi="Times New Roman" w:cs="Times New Roman"/>
          <w:sz w:val="24"/>
        </w:rPr>
        <w:t xml:space="preserve">оздание благоприятных условий для локализации производства высокотехнологичных медицинских изделий, создание особых условий для локализации и вывода на рынок тех медицинских изделий, производство которых в Российской Федерации не осуществляется, с целью более полного замещения отсутствующих в настоящее время в российской медицинской промышленности компетенций, в том числе посредством расширения и совершенствования механизмов применения </w:t>
      </w:r>
      <w:r w:rsidR="006D0025">
        <w:rPr>
          <w:rFonts w:ascii="Times New Roman" w:hAnsi="Times New Roman" w:cs="Times New Roman"/>
          <w:sz w:val="24"/>
        </w:rPr>
        <w:t>постановления</w:t>
      </w:r>
      <w:r w:rsidR="006D0025" w:rsidRPr="006D0025">
        <w:rPr>
          <w:rFonts w:ascii="Times New Roman" w:hAnsi="Times New Roman" w:cs="Times New Roman"/>
          <w:sz w:val="24"/>
        </w:rPr>
        <w:t xml:space="preserve"> Прави</w:t>
      </w:r>
      <w:r w:rsidR="006D0025">
        <w:rPr>
          <w:rFonts w:ascii="Times New Roman" w:hAnsi="Times New Roman" w:cs="Times New Roman"/>
          <w:sz w:val="24"/>
        </w:rPr>
        <w:t>тельства РФ от 17 июля 2015 г. №</w:t>
      </w:r>
      <w:r w:rsidR="006D0025" w:rsidRPr="006D0025">
        <w:rPr>
          <w:rFonts w:ascii="Times New Roman" w:hAnsi="Times New Roman" w:cs="Times New Roman"/>
          <w:sz w:val="24"/>
        </w:rPr>
        <w:t xml:space="preserve"> 719</w:t>
      </w:r>
      <w:r w:rsidR="006D0025">
        <w:rPr>
          <w:rFonts w:ascii="Times New Roman" w:hAnsi="Times New Roman" w:cs="Times New Roman"/>
          <w:sz w:val="24"/>
        </w:rPr>
        <w:t xml:space="preserve"> «</w:t>
      </w:r>
      <w:r w:rsidR="006D0025" w:rsidRPr="006D0025">
        <w:rPr>
          <w:rFonts w:ascii="Times New Roman" w:hAnsi="Times New Roman" w:cs="Times New Roman"/>
          <w:sz w:val="24"/>
        </w:rPr>
        <w:t xml:space="preserve">О подтверждении производства промышленной продукции на </w:t>
      </w:r>
      <w:r w:rsidR="006D0025">
        <w:rPr>
          <w:rFonts w:ascii="Times New Roman" w:hAnsi="Times New Roman" w:cs="Times New Roman"/>
          <w:sz w:val="24"/>
        </w:rPr>
        <w:t>территории Российской Федерации»</w:t>
      </w:r>
      <w:bookmarkStart w:id="0" w:name="_GoBack"/>
      <w:bookmarkEnd w:id="0"/>
      <w:r w:rsidRPr="00EE3874">
        <w:rPr>
          <w:rFonts w:ascii="Times New Roman" w:hAnsi="Times New Roman" w:cs="Times New Roman"/>
          <w:sz w:val="24"/>
        </w:rPr>
        <w:t>, совершенствования механизма Специальных инвестиционных контрактов с учетом специфики производства конкретных медицинских изделий.</w:t>
      </w:r>
    </w:p>
    <w:p w:rsidR="00EA30A8" w:rsidRPr="008D667E" w:rsidRDefault="00EA30A8" w:rsidP="00B758F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84E04" w:rsidRPr="007E0532" w:rsidRDefault="00484E04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E04" w:rsidRDefault="00484E04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23D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23D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23D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23D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23D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23D" w:rsidRPr="007E0532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8123D" w:rsidRPr="007E0532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24" w:rsidRDefault="002B2424" w:rsidP="007759A9">
      <w:pPr>
        <w:spacing w:after="0" w:line="240" w:lineRule="auto"/>
      </w:pPr>
      <w:r>
        <w:separator/>
      </w:r>
    </w:p>
  </w:endnote>
  <w:endnote w:type="continuationSeparator" w:id="0">
    <w:p w:rsidR="002B2424" w:rsidRDefault="002B2424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6D0025">
      <w:rPr>
        <w:rFonts w:ascii="Times New Roman" w:hAnsi="Times New Roman"/>
        <w:noProof/>
        <w:color w:val="595959"/>
      </w:rPr>
      <w:t>3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24" w:rsidRDefault="002B2424" w:rsidP="007759A9">
      <w:pPr>
        <w:spacing w:after="0" w:line="240" w:lineRule="auto"/>
      </w:pPr>
      <w:r>
        <w:separator/>
      </w:r>
    </w:p>
  </w:footnote>
  <w:footnote w:type="continuationSeparator" w:id="0">
    <w:p w:rsidR="002B2424" w:rsidRDefault="002B2424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2B2424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2B2424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2B2424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6292F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1D1114"/>
    <w:rsid w:val="0022180E"/>
    <w:rsid w:val="00247BB8"/>
    <w:rsid w:val="0026606F"/>
    <w:rsid w:val="0026736D"/>
    <w:rsid w:val="002741EF"/>
    <w:rsid w:val="00275164"/>
    <w:rsid w:val="002A3417"/>
    <w:rsid w:val="002B2424"/>
    <w:rsid w:val="00306395"/>
    <w:rsid w:val="0036054C"/>
    <w:rsid w:val="00387778"/>
    <w:rsid w:val="003916AE"/>
    <w:rsid w:val="003948C0"/>
    <w:rsid w:val="003F78F4"/>
    <w:rsid w:val="004010DF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6587"/>
    <w:rsid w:val="00517437"/>
    <w:rsid w:val="005409FF"/>
    <w:rsid w:val="005435CE"/>
    <w:rsid w:val="00545934"/>
    <w:rsid w:val="00545C73"/>
    <w:rsid w:val="005A24E1"/>
    <w:rsid w:val="005C3539"/>
    <w:rsid w:val="005F6B10"/>
    <w:rsid w:val="00607F75"/>
    <w:rsid w:val="006138CF"/>
    <w:rsid w:val="00650E12"/>
    <w:rsid w:val="006563EC"/>
    <w:rsid w:val="00666CBF"/>
    <w:rsid w:val="00677985"/>
    <w:rsid w:val="006D0025"/>
    <w:rsid w:val="006E4A1C"/>
    <w:rsid w:val="007759A9"/>
    <w:rsid w:val="007A1897"/>
    <w:rsid w:val="007B3A5E"/>
    <w:rsid w:val="007B4A97"/>
    <w:rsid w:val="007B535D"/>
    <w:rsid w:val="007C458D"/>
    <w:rsid w:val="007E0532"/>
    <w:rsid w:val="007E1321"/>
    <w:rsid w:val="008143FF"/>
    <w:rsid w:val="008610FC"/>
    <w:rsid w:val="008816E0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60880"/>
    <w:rsid w:val="00B74ECE"/>
    <w:rsid w:val="00B758F7"/>
    <w:rsid w:val="00B8123D"/>
    <w:rsid w:val="00BA44B7"/>
    <w:rsid w:val="00BE34B0"/>
    <w:rsid w:val="00BF2F56"/>
    <w:rsid w:val="00C00F9E"/>
    <w:rsid w:val="00C308F0"/>
    <w:rsid w:val="00C33B87"/>
    <w:rsid w:val="00C60D85"/>
    <w:rsid w:val="00C6720B"/>
    <w:rsid w:val="00C73971"/>
    <w:rsid w:val="00CA3544"/>
    <w:rsid w:val="00CC69A6"/>
    <w:rsid w:val="00CF611B"/>
    <w:rsid w:val="00D00350"/>
    <w:rsid w:val="00D44D84"/>
    <w:rsid w:val="00D72C92"/>
    <w:rsid w:val="00D848A5"/>
    <w:rsid w:val="00D90483"/>
    <w:rsid w:val="00DF3FE7"/>
    <w:rsid w:val="00DF6D33"/>
    <w:rsid w:val="00E0028C"/>
    <w:rsid w:val="00E03843"/>
    <w:rsid w:val="00E44987"/>
    <w:rsid w:val="00E707E6"/>
    <w:rsid w:val="00EA0E4F"/>
    <w:rsid w:val="00EA30A8"/>
    <w:rsid w:val="00EC2BD0"/>
    <w:rsid w:val="00EE3874"/>
    <w:rsid w:val="00EF0812"/>
    <w:rsid w:val="00F01449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DBAFFD"/>
  <w15:docId w15:val="{AF1EB3A6-C976-427B-8374-A136A151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9039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10</cp:revision>
  <cp:lastPrinted>2018-09-17T07:07:00Z</cp:lastPrinted>
  <dcterms:created xsi:type="dcterms:W3CDTF">2018-12-29T09:20:00Z</dcterms:created>
  <dcterms:modified xsi:type="dcterms:W3CDTF">2019-05-28T21:23:00Z</dcterms:modified>
</cp:coreProperties>
</file>